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D3" w:rsidRDefault="00335BD3" w:rsidP="0033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 xml:space="preserve">OSZ Wirtschaft und Sozialversicherung </w:t>
      </w:r>
      <w:r>
        <w:rPr>
          <w:rFonts w:cs="Arial"/>
          <w:szCs w:val="24"/>
        </w:rPr>
        <w:br/>
        <w:t xml:space="preserve">Fach Rechnungswesen </w:t>
      </w:r>
    </w:p>
    <w:p w:rsidR="00335BD3" w:rsidRDefault="00335BD3" w:rsidP="0033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>
        <w:rPr>
          <w:rFonts w:cs="Arial"/>
          <w:szCs w:val="24"/>
        </w:rPr>
        <w:br/>
        <w:t xml:space="preserve">LA: </w:t>
      </w:r>
      <w:r w:rsidR="00DC42ED">
        <w:rPr>
          <w:rFonts w:cs="Arial"/>
          <w:szCs w:val="24"/>
        </w:rPr>
        <w:t>Kostenrechnung</w:t>
      </w:r>
      <w:r>
        <w:rPr>
          <w:rFonts w:cs="Arial"/>
          <w:szCs w:val="24"/>
        </w:rPr>
        <w:br/>
        <w:t>LE</w:t>
      </w:r>
      <w:r w:rsidR="00767DB1">
        <w:rPr>
          <w:rFonts w:cs="Arial"/>
          <w:szCs w:val="24"/>
        </w:rPr>
        <w:t xml:space="preserve">: </w:t>
      </w:r>
      <w:r w:rsidR="00DC42ED">
        <w:rPr>
          <w:rFonts w:cs="Arial"/>
          <w:szCs w:val="24"/>
        </w:rPr>
        <w:t>Teilkostenrechnung</w:t>
      </w:r>
      <w:r w:rsidR="00DB63D9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740B9">
        <w:rPr>
          <w:rFonts w:cs="Arial"/>
          <w:b/>
          <w:szCs w:val="24"/>
        </w:rPr>
        <w:t>ÜB</w:t>
      </w:r>
      <w:r w:rsidR="00DC42ED" w:rsidRPr="00DC42ED">
        <w:rPr>
          <w:rFonts w:cs="Arial"/>
          <w:b/>
          <w:szCs w:val="24"/>
        </w:rPr>
        <w:t>UNG</w:t>
      </w:r>
      <w:r w:rsidR="00472A92">
        <w:rPr>
          <w:rFonts w:cs="Arial"/>
          <w:b/>
          <w:szCs w:val="24"/>
        </w:rPr>
        <w:t>:</w:t>
      </w:r>
      <w:r w:rsidR="00472A92">
        <w:rPr>
          <w:rFonts w:cs="Arial"/>
          <w:b/>
          <w:szCs w:val="24"/>
        </w:rPr>
        <w:tab/>
      </w:r>
      <w:r w:rsidR="00DC42ED" w:rsidRPr="00DC42ED">
        <w:rPr>
          <w:rFonts w:cs="Arial"/>
          <w:b/>
          <w:szCs w:val="24"/>
        </w:rPr>
        <w:t xml:space="preserve"> PREISUNTERGRENZEN</w:t>
      </w:r>
    </w:p>
    <w:p w:rsidR="00335BD3" w:rsidRDefault="00335BD3" w:rsidP="00335BD3">
      <w:pPr>
        <w:jc w:val="both"/>
        <w:rPr>
          <w:rFonts w:cs="Arial"/>
          <w:szCs w:val="24"/>
        </w:rPr>
      </w:pPr>
    </w:p>
    <w:p w:rsidR="00472A92" w:rsidRDefault="00472A92" w:rsidP="00335BD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Erforderliche Materialien:</w:t>
      </w:r>
    </w:p>
    <w:p w:rsidR="00472A92" w:rsidRPr="00472A92" w:rsidRDefault="00472A92" w:rsidP="00472A92">
      <w:pPr>
        <w:pStyle w:val="Listenabsatz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Lösung der </w:t>
      </w:r>
      <w:r w:rsidRPr="00472A92">
        <w:rPr>
          <w:rFonts w:cs="Arial"/>
          <w:szCs w:val="24"/>
        </w:rPr>
        <w:t>Üb</w:t>
      </w:r>
      <w:r>
        <w:rPr>
          <w:rFonts w:cs="Arial"/>
          <w:szCs w:val="24"/>
        </w:rPr>
        <w:t>ung:</w:t>
      </w:r>
      <w:r w:rsidRPr="00472A92">
        <w:rPr>
          <w:rFonts w:cs="Arial"/>
          <w:szCs w:val="24"/>
        </w:rPr>
        <w:t xml:space="preserve"> Aufteilung der Fixkosten</w:t>
      </w:r>
    </w:p>
    <w:p w:rsidR="00472A92" w:rsidRDefault="00472A92" w:rsidP="00335BD3">
      <w:pPr>
        <w:jc w:val="both"/>
        <w:rPr>
          <w:rFonts w:cs="Arial"/>
          <w:szCs w:val="24"/>
        </w:rPr>
      </w:pPr>
    </w:p>
    <w:p w:rsidR="00335BD3" w:rsidRDefault="00503BEA" w:rsidP="00052ED9">
      <w:pPr>
        <w:rPr>
          <w:rFonts w:cs="Arial"/>
          <w:szCs w:val="24"/>
        </w:rPr>
      </w:pPr>
      <w:r>
        <w:rPr>
          <w:rFonts w:cs="Arial"/>
          <w:szCs w:val="24"/>
        </w:rPr>
        <w:t>Am nächsten Abend hält Markus sein Versprechen ein und führt Bianka groß zum Essen aus. Aber die bei der Analyse der Fixkostenverteilung gewonnenen Erkenntnisse beschä</w:t>
      </w:r>
      <w:r>
        <w:rPr>
          <w:rFonts w:cs="Arial"/>
          <w:szCs w:val="24"/>
        </w:rPr>
        <w:t>f</w:t>
      </w:r>
      <w:r>
        <w:rPr>
          <w:rFonts w:cs="Arial"/>
          <w:szCs w:val="24"/>
        </w:rPr>
        <w:t xml:space="preserve">tigen </w:t>
      </w:r>
      <w:r w:rsidR="00FA2595">
        <w:rPr>
          <w:rFonts w:cs="Arial"/>
          <w:szCs w:val="24"/>
        </w:rPr>
        <w:t xml:space="preserve">beide noch. </w:t>
      </w:r>
    </w:p>
    <w:p w:rsidR="00335BD3" w:rsidRDefault="00335BD3" w:rsidP="00052ED9">
      <w:pPr>
        <w:rPr>
          <w:rFonts w:cs="Arial"/>
          <w:szCs w:val="24"/>
        </w:rPr>
      </w:pPr>
    </w:p>
    <w:p w:rsidR="00335BD3" w:rsidRDefault="00FA2595" w:rsidP="00052ED9">
      <w:pPr>
        <w:rPr>
          <w:rFonts w:cs="Arial"/>
          <w:szCs w:val="24"/>
        </w:rPr>
      </w:pPr>
      <w:r>
        <w:rPr>
          <w:rFonts w:cs="Arial"/>
          <w:szCs w:val="24"/>
        </w:rPr>
        <w:t xml:space="preserve">Bianka: </w:t>
      </w:r>
      <w:r w:rsidR="00F30527">
        <w:rPr>
          <w:rFonts w:cs="Arial"/>
          <w:szCs w:val="24"/>
        </w:rPr>
        <w:t>„</w:t>
      </w:r>
      <w:r>
        <w:rPr>
          <w:rFonts w:cs="Arial"/>
          <w:szCs w:val="24"/>
        </w:rPr>
        <w:t>Fröhli-Bärchen, ich danke dir für diesen wunderschönen Abend. Manchmal möc</w:t>
      </w:r>
      <w:r>
        <w:rPr>
          <w:rFonts w:cs="Arial"/>
          <w:szCs w:val="24"/>
        </w:rPr>
        <w:t>h</w:t>
      </w:r>
      <w:r>
        <w:rPr>
          <w:rFonts w:cs="Arial"/>
          <w:szCs w:val="24"/>
        </w:rPr>
        <w:t>te Frau auch mal verwöhnt werden, und das ist dir perfekt gelungen.</w:t>
      </w:r>
      <w:r w:rsidR="00F30527">
        <w:rPr>
          <w:rFonts w:cs="Arial"/>
          <w:szCs w:val="24"/>
        </w:rPr>
        <w:t>“</w:t>
      </w:r>
    </w:p>
    <w:p w:rsidR="00FA2595" w:rsidRDefault="00FA2595" w:rsidP="00052ED9">
      <w:pPr>
        <w:rPr>
          <w:rFonts w:cs="Arial"/>
          <w:szCs w:val="24"/>
        </w:rPr>
      </w:pPr>
    </w:p>
    <w:p w:rsidR="00FA2595" w:rsidRDefault="00FA2595" w:rsidP="00052ED9">
      <w:pPr>
        <w:rPr>
          <w:rFonts w:cs="Arial"/>
          <w:szCs w:val="24"/>
        </w:rPr>
      </w:pPr>
      <w:r>
        <w:rPr>
          <w:rFonts w:cs="Arial"/>
          <w:szCs w:val="24"/>
        </w:rPr>
        <w:t xml:space="preserve">Markus: </w:t>
      </w:r>
      <w:r w:rsidR="00F30527">
        <w:rPr>
          <w:rFonts w:cs="Arial"/>
          <w:szCs w:val="24"/>
        </w:rPr>
        <w:t>„</w:t>
      </w:r>
      <w:r>
        <w:rPr>
          <w:rFonts w:cs="Arial"/>
          <w:szCs w:val="24"/>
        </w:rPr>
        <w:t xml:space="preserve">Du hilfst mir immerzu, es ist </w:t>
      </w:r>
      <w:r w:rsidR="00BB4096">
        <w:rPr>
          <w:rFonts w:cs="Arial"/>
          <w:szCs w:val="24"/>
        </w:rPr>
        <w:t xml:space="preserve">für mich </w:t>
      </w:r>
      <w:r>
        <w:rPr>
          <w:rFonts w:cs="Arial"/>
          <w:szCs w:val="24"/>
        </w:rPr>
        <w:t xml:space="preserve">eine Selbstverständlichkeit, dir </w:t>
      </w:r>
      <w:r w:rsidR="009043BE">
        <w:rPr>
          <w:rFonts w:cs="Arial"/>
          <w:szCs w:val="24"/>
        </w:rPr>
        <w:t>einmal D</w:t>
      </w:r>
      <w:r>
        <w:rPr>
          <w:rFonts w:cs="Arial"/>
          <w:szCs w:val="24"/>
        </w:rPr>
        <w:t>a</w:t>
      </w:r>
      <w:r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ke </w:t>
      </w:r>
      <w:r w:rsidR="00BB4096">
        <w:rPr>
          <w:rFonts w:cs="Arial"/>
          <w:szCs w:val="24"/>
        </w:rPr>
        <w:t xml:space="preserve">schön </w:t>
      </w:r>
      <w:r>
        <w:rPr>
          <w:rFonts w:cs="Arial"/>
          <w:szCs w:val="24"/>
        </w:rPr>
        <w:t>zu sagen!</w:t>
      </w:r>
      <w:r w:rsidR="00F30527">
        <w:rPr>
          <w:rFonts w:cs="Arial"/>
          <w:szCs w:val="24"/>
        </w:rPr>
        <w:t>“</w:t>
      </w:r>
    </w:p>
    <w:p w:rsidR="00FA2595" w:rsidRDefault="00FA2595" w:rsidP="00052ED9">
      <w:pPr>
        <w:rPr>
          <w:rFonts w:cs="Arial"/>
          <w:szCs w:val="24"/>
        </w:rPr>
      </w:pPr>
    </w:p>
    <w:p w:rsidR="00FA2595" w:rsidRDefault="00FA2595" w:rsidP="00052ED9">
      <w:pPr>
        <w:rPr>
          <w:rFonts w:cs="Arial"/>
          <w:szCs w:val="24"/>
        </w:rPr>
      </w:pPr>
      <w:r>
        <w:rPr>
          <w:rFonts w:cs="Arial"/>
          <w:szCs w:val="24"/>
        </w:rPr>
        <w:t xml:space="preserve">Bianka: </w:t>
      </w:r>
      <w:r w:rsidR="00F30527">
        <w:rPr>
          <w:rFonts w:cs="Arial"/>
          <w:szCs w:val="24"/>
        </w:rPr>
        <w:t>„</w:t>
      </w:r>
      <w:r>
        <w:rPr>
          <w:rFonts w:cs="Arial"/>
          <w:szCs w:val="24"/>
        </w:rPr>
        <w:t>Weißt du</w:t>
      </w:r>
      <w:r w:rsidR="00BB4096">
        <w:rPr>
          <w:rFonts w:cs="Arial"/>
          <w:szCs w:val="24"/>
        </w:rPr>
        <w:t xml:space="preserve"> Bärchen</w:t>
      </w:r>
      <w:r>
        <w:rPr>
          <w:rFonts w:cs="Arial"/>
          <w:szCs w:val="24"/>
        </w:rPr>
        <w:t>, ein Gedanke beschäftigt mich den ganzen Tag. Dein Marke</w:t>
      </w:r>
      <w:r>
        <w:rPr>
          <w:rFonts w:cs="Arial"/>
          <w:szCs w:val="24"/>
        </w:rPr>
        <w:t>n</w:t>
      </w:r>
      <w:r>
        <w:rPr>
          <w:rFonts w:cs="Arial"/>
          <w:szCs w:val="24"/>
        </w:rPr>
        <w:t>produkt</w:t>
      </w:r>
      <w:r w:rsidR="00BB409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0,7 l bringt als einziges Gewinn. </w:t>
      </w:r>
      <w:r w:rsidR="009043BE">
        <w:rPr>
          <w:rFonts w:cs="Arial"/>
          <w:szCs w:val="24"/>
        </w:rPr>
        <w:t xml:space="preserve">Alle anderen Produkte decken nicht ihre fixen Kosten. </w:t>
      </w:r>
      <w:r>
        <w:rPr>
          <w:rFonts w:cs="Arial"/>
          <w:szCs w:val="24"/>
        </w:rPr>
        <w:t>Was geschieht eigentlich, wenn Deine Marken</w:t>
      </w:r>
      <w:r w:rsidR="009043BE">
        <w:rPr>
          <w:rFonts w:cs="Arial"/>
          <w:szCs w:val="24"/>
        </w:rPr>
        <w:t xml:space="preserve">kunden Reichelt, Kaiser usw. auf den neuen Wettbewerber LIDL reagieren müssen und – da bin ich mir sicher – von dir eine Senkung deiner Verkaufspreise erwarten? </w:t>
      </w:r>
      <w:r w:rsidR="00BB4096">
        <w:rPr>
          <w:rFonts w:cs="Arial"/>
          <w:szCs w:val="24"/>
        </w:rPr>
        <w:t>Auch dein 0,33 l Produkt wird da auf den Prü</w:t>
      </w:r>
      <w:r w:rsidR="00BB4096">
        <w:rPr>
          <w:rFonts w:cs="Arial"/>
          <w:szCs w:val="24"/>
        </w:rPr>
        <w:t>f</w:t>
      </w:r>
      <w:r w:rsidR="00BB4096">
        <w:rPr>
          <w:rFonts w:cs="Arial"/>
          <w:szCs w:val="24"/>
        </w:rPr>
        <w:t xml:space="preserve">stand kommen. </w:t>
      </w:r>
      <w:r w:rsidR="009043BE">
        <w:rPr>
          <w:rFonts w:cs="Arial"/>
          <w:szCs w:val="24"/>
        </w:rPr>
        <w:t>Wo lieg</w:t>
      </w:r>
      <w:r w:rsidR="00BB4096">
        <w:rPr>
          <w:rFonts w:cs="Arial"/>
          <w:szCs w:val="24"/>
        </w:rPr>
        <w:t>en</w:t>
      </w:r>
      <w:r w:rsidR="009043BE">
        <w:rPr>
          <w:rFonts w:cs="Arial"/>
          <w:szCs w:val="24"/>
        </w:rPr>
        <w:t xml:space="preserve"> da deine Schmerzgrenze</w:t>
      </w:r>
      <w:r w:rsidR="00BB4096">
        <w:rPr>
          <w:rFonts w:cs="Arial"/>
          <w:szCs w:val="24"/>
        </w:rPr>
        <w:t>n?</w:t>
      </w:r>
      <w:r w:rsidR="009043BE">
        <w:rPr>
          <w:rFonts w:cs="Arial"/>
          <w:szCs w:val="24"/>
        </w:rPr>
        <w:t xml:space="preserve"> Welche weiteren Preisreduzieru</w:t>
      </w:r>
      <w:r w:rsidR="009043BE">
        <w:rPr>
          <w:rFonts w:cs="Arial"/>
          <w:szCs w:val="24"/>
        </w:rPr>
        <w:t>n</w:t>
      </w:r>
      <w:r w:rsidR="009043BE">
        <w:rPr>
          <w:rFonts w:cs="Arial"/>
          <w:szCs w:val="24"/>
        </w:rPr>
        <w:t xml:space="preserve">gen kannst du </w:t>
      </w:r>
      <w:r w:rsidR="000D632F">
        <w:rPr>
          <w:rFonts w:cs="Arial"/>
          <w:szCs w:val="24"/>
        </w:rPr>
        <w:t xml:space="preserve">bei deinen Markenprodukten </w:t>
      </w:r>
      <w:r w:rsidR="009043BE">
        <w:rPr>
          <w:rFonts w:cs="Arial"/>
          <w:szCs w:val="24"/>
        </w:rPr>
        <w:t>zustim</w:t>
      </w:r>
      <w:r w:rsidR="002E4DB0">
        <w:rPr>
          <w:rFonts w:cs="Arial"/>
          <w:szCs w:val="24"/>
        </w:rPr>
        <w:t>men. Wie verhältst du dich,</w:t>
      </w:r>
      <w:r w:rsidR="009043BE">
        <w:rPr>
          <w:rFonts w:cs="Arial"/>
          <w:szCs w:val="24"/>
        </w:rPr>
        <w:t xml:space="preserve"> wenn LIDL </w:t>
      </w:r>
      <w:r w:rsidR="000D632F">
        <w:rPr>
          <w:rFonts w:cs="Arial"/>
          <w:szCs w:val="24"/>
        </w:rPr>
        <w:t xml:space="preserve">in einem Preiskampf </w:t>
      </w:r>
      <w:r w:rsidR="009043BE">
        <w:rPr>
          <w:rFonts w:cs="Arial"/>
          <w:szCs w:val="24"/>
        </w:rPr>
        <w:t>dagegen halten will</w:t>
      </w:r>
      <w:r w:rsidR="002E4DB0">
        <w:rPr>
          <w:rFonts w:cs="Arial"/>
          <w:szCs w:val="24"/>
        </w:rPr>
        <w:t xml:space="preserve"> und ebenfalls Preisreduzierungen verlangt</w:t>
      </w:r>
      <w:r w:rsidR="009043BE">
        <w:rPr>
          <w:rFonts w:cs="Arial"/>
          <w:szCs w:val="24"/>
        </w:rPr>
        <w:t>?</w:t>
      </w:r>
      <w:r w:rsidR="00F30527">
        <w:rPr>
          <w:rFonts w:cs="Arial"/>
          <w:szCs w:val="24"/>
        </w:rPr>
        <w:t>“</w:t>
      </w:r>
    </w:p>
    <w:p w:rsidR="00335BD3" w:rsidRDefault="00335BD3" w:rsidP="00052ED9">
      <w:pPr>
        <w:rPr>
          <w:rFonts w:cs="Arial"/>
          <w:szCs w:val="24"/>
        </w:rPr>
      </w:pPr>
    </w:p>
    <w:p w:rsidR="00BB4096" w:rsidRDefault="000D632F" w:rsidP="00052ED9">
      <w:pPr>
        <w:rPr>
          <w:rFonts w:cs="Arial"/>
          <w:szCs w:val="24"/>
        </w:rPr>
      </w:pPr>
      <w:r>
        <w:rPr>
          <w:rFonts w:cs="Arial"/>
          <w:szCs w:val="24"/>
        </w:rPr>
        <w:t xml:space="preserve">Markus: </w:t>
      </w:r>
      <w:r w:rsidR="00F30527">
        <w:rPr>
          <w:rFonts w:cs="Arial"/>
          <w:szCs w:val="24"/>
        </w:rPr>
        <w:t>„</w:t>
      </w:r>
      <w:r>
        <w:rPr>
          <w:rFonts w:cs="Arial"/>
          <w:szCs w:val="24"/>
        </w:rPr>
        <w:t>Ich habe ni</w:t>
      </w:r>
      <w:r w:rsidR="00F30527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feststellen können, wie mein Onkel damals die Kalkulationen für die Marken</w:t>
      </w:r>
      <w:r w:rsidR="00052ED9">
        <w:rPr>
          <w:rFonts w:cs="Arial"/>
          <w:szCs w:val="24"/>
        </w:rPr>
        <w:t>produkte gemacht hat. Die Unterlagen existieren nicht mehr. Über Preisuntergre</w:t>
      </w:r>
      <w:r w:rsidR="00052ED9">
        <w:rPr>
          <w:rFonts w:cs="Arial"/>
          <w:szCs w:val="24"/>
        </w:rPr>
        <w:t>n</w:t>
      </w:r>
      <w:r w:rsidR="00052ED9">
        <w:rPr>
          <w:rFonts w:cs="Arial"/>
          <w:szCs w:val="24"/>
        </w:rPr>
        <w:t xml:space="preserve">zen weiß ich noch fast gar nichts. Ich sehe aber auch wie du die Gefahren, die auf mein junges Unternehmen lauern und verspreche dir, ich mache mich morgen schlau. </w:t>
      </w:r>
      <w:r w:rsidR="00BB4096">
        <w:rPr>
          <w:rFonts w:cs="Arial"/>
          <w:szCs w:val="24"/>
        </w:rPr>
        <w:t>Eins aber weiß ich genau</w:t>
      </w:r>
      <w:r w:rsidR="00F30527">
        <w:rPr>
          <w:rFonts w:cs="Arial"/>
          <w:szCs w:val="24"/>
        </w:rPr>
        <w:t xml:space="preserve">, dass du für mich immer unentbehrlicher wirst. </w:t>
      </w:r>
    </w:p>
    <w:p w:rsidR="00BB4096" w:rsidRDefault="00BB4096" w:rsidP="00052ED9">
      <w:pPr>
        <w:rPr>
          <w:rFonts w:cs="Arial"/>
          <w:szCs w:val="24"/>
        </w:rPr>
      </w:pPr>
    </w:p>
    <w:p w:rsidR="00052ED9" w:rsidRDefault="00052ED9" w:rsidP="00052ED9">
      <w:pPr>
        <w:rPr>
          <w:rFonts w:cs="Arial"/>
          <w:szCs w:val="24"/>
        </w:rPr>
      </w:pPr>
      <w:r>
        <w:rPr>
          <w:rFonts w:cs="Arial"/>
          <w:szCs w:val="24"/>
        </w:rPr>
        <w:t xml:space="preserve">Bianka: Entschuldige, beinahe hätte ich unseren schönen Abend verdorben. </w:t>
      </w:r>
      <w:r w:rsidR="00F30527">
        <w:rPr>
          <w:rFonts w:cs="Arial"/>
          <w:szCs w:val="24"/>
        </w:rPr>
        <w:t xml:space="preserve">Ich hoffe nur, dass mit dem unentbehrlicher bezieht sich </w:t>
      </w:r>
      <w:r w:rsidR="00BB4096">
        <w:rPr>
          <w:rFonts w:cs="Arial"/>
          <w:szCs w:val="24"/>
        </w:rPr>
        <w:t>n</w:t>
      </w:r>
      <w:r w:rsidR="00F30527">
        <w:rPr>
          <w:rFonts w:cs="Arial"/>
          <w:szCs w:val="24"/>
        </w:rPr>
        <w:t xml:space="preserve">icht nur auf die BWL. </w:t>
      </w:r>
      <w:r>
        <w:rPr>
          <w:rFonts w:cs="Arial"/>
          <w:szCs w:val="24"/>
        </w:rPr>
        <w:t>Mach dich einfach schlau, dann reden wir morgen wieder darüber.</w:t>
      </w:r>
    </w:p>
    <w:p w:rsidR="00052ED9" w:rsidRDefault="00052ED9" w:rsidP="00052ED9">
      <w:pPr>
        <w:rPr>
          <w:rFonts w:cs="Arial"/>
          <w:szCs w:val="24"/>
        </w:rPr>
      </w:pPr>
    </w:p>
    <w:p w:rsidR="00052ED9" w:rsidRDefault="0005020E" w:rsidP="00052ED9">
      <w:pPr>
        <w:rPr>
          <w:rFonts w:cs="Arial"/>
          <w:szCs w:val="24"/>
        </w:rPr>
      </w:pPr>
      <w:r>
        <w:rPr>
          <w:rFonts w:cs="Arial"/>
          <w:szCs w:val="24"/>
        </w:rPr>
        <w:t>Markus folgt am nächsten Tag Biankas Anregung und recherchiert das Thema Preisunte</w:t>
      </w:r>
      <w:r>
        <w:rPr>
          <w:rFonts w:cs="Arial"/>
          <w:szCs w:val="24"/>
        </w:rPr>
        <w:t>r</w:t>
      </w:r>
      <w:r>
        <w:rPr>
          <w:rFonts w:cs="Arial"/>
          <w:szCs w:val="24"/>
        </w:rPr>
        <w:t>grenzen. Hierbei fasst er folgende Informationen für sein Unternehmen zusammen.</w:t>
      </w:r>
    </w:p>
    <w:p w:rsidR="0005020E" w:rsidRDefault="0005020E" w:rsidP="00052ED9">
      <w:pPr>
        <w:rPr>
          <w:rFonts w:cs="Arial"/>
          <w:szCs w:val="24"/>
        </w:rPr>
      </w:pPr>
    </w:p>
    <w:p w:rsidR="000933CF" w:rsidRDefault="0005020E" w:rsidP="0005020E">
      <w:pPr>
        <w:rPr>
          <w:rFonts w:cs="Arial"/>
          <w:b/>
          <w:szCs w:val="24"/>
          <w:u w:val="single"/>
        </w:rPr>
      </w:pPr>
      <w:r w:rsidRPr="002F5721">
        <w:rPr>
          <w:rFonts w:cs="Arial"/>
          <w:b/>
          <w:szCs w:val="24"/>
          <w:u w:val="single"/>
        </w:rPr>
        <w:t>Begriff der Preisuntergrenze</w:t>
      </w:r>
      <w:r w:rsidR="002F5721">
        <w:rPr>
          <w:rFonts w:cs="Arial"/>
          <w:b/>
          <w:szCs w:val="24"/>
          <w:u w:val="single"/>
        </w:rPr>
        <w:t>:</w:t>
      </w:r>
    </w:p>
    <w:p w:rsidR="002F5721" w:rsidRPr="002F5721" w:rsidRDefault="002F5721" w:rsidP="0005020E">
      <w:pPr>
        <w:rPr>
          <w:rFonts w:cs="Arial"/>
          <w:b/>
          <w:szCs w:val="24"/>
          <w:u w:val="single"/>
        </w:rPr>
      </w:pPr>
    </w:p>
    <w:p w:rsidR="0005020E" w:rsidRPr="0005020E" w:rsidRDefault="0005020E" w:rsidP="0005020E">
      <w:pPr>
        <w:rPr>
          <w:rFonts w:cs="Arial"/>
          <w:szCs w:val="24"/>
        </w:rPr>
      </w:pPr>
      <w:r>
        <w:rPr>
          <w:rFonts w:cs="Arial"/>
          <w:szCs w:val="24"/>
        </w:rPr>
        <w:t xml:space="preserve">Die Preisuntergrenze </w:t>
      </w:r>
      <w:r w:rsidRPr="0005020E">
        <w:rPr>
          <w:rFonts w:cs="Arial"/>
          <w:szCs w:val="24"/>
        </w:rPr>
        <w:t>(PUG) gibt den Verkaufspreis an, den ein Unternehmen für sein E</w:t>
      </w:r>
      <w:r w:rsidRPr="0005020E">
        <w:rPr>
          <w:rFonts w:cs="Arial"/>
          <w:szCs w:val="24"/>
        </w:rPr>
        <w:t>r</w:t>
      </w:r>
      <w:r w:rsidRPr="0005020E">
        <w:rPr>
          <w:rFonts w:cs="Arial"/>
          <w:szCs w:val="24"/>
        </w:rPr>
        <w:t>zeugnis fordern muss, um kurz- oder langfristig zu bestehen.</w:t>
      </w:r>
    </w:p>
    <w:p w:rsidR="0005020E" w:rsidRDefault="0005020E" w:rsidP="0005020E">
      <w:pPr>
        <w:rPr>
          <w:rFonts w:cs="Arial"/>
          <w:szCs w:val="24"/>
        </w:rPr>
      </w:pPr>
      <w:r>
        <w:rPr>
          <w:rFonts w:cs="Arial"/>
          <w:szCs w:val="24"/>
        </w:rPr>
        <w:t>Wenn ein Unternehmen durch seine Kunden vor die Wahl gestellt wird, entweder zu einem niedrigeren Preis zu verkaufen oder einen Auftrag zu verlieren (leider sind die Machtve</w:t>
      </w:r>
      <w:r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hältnisse im Lebensmittelmarkt für die Habedank-Säfte GmbH so verteilt), </w:t>
      </w:r>
      <w:r w:rsidRPr="0005020E">
        <w:rPr>
          <w:rFonts w:cs="Arial"/>
          <w:szCs w:val="24"/>
        </w:rPr>
        <w:t>wird die Unte</w:t>
      </w:r>
      <w:r w:rsidRPr="0005020E">
        <w:rPr>
          <w:rFonts w:cs="Arial"/>
          <w:szCs w:val="24"/>
        </w:rPr>
        <w:t>r</w:t>
      </w:r>
      <w:r w:rsidRPr="0005020E">
        <w:rPr>
          <w:rFonts w:cs="Arial"/>
          <w:szCs w:val="24"/>
        </w:rPr>
        <w:t>nehmensleitung gezwungen sein, die Verkaufspreise zu senken, um den Absatzrückgang aufzuhalten</w:t>
      </w:r>
      <w:r>
        <w:rPr>
          <w:rFonts w:cs="Arial"/>
          <w:szCs w:val="24"/>
        </w:rPr>
        <w:t xml:space="preserve"> und den Auftrag nicht zu verlieren</w:t>
      </w:r>
      <w:r w:rsidRPr="0005020E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 ist dann erforderlich, zu</w:t>
      </w:r>
      <w:r w:rsidRPr="0005020E">
        <w:rPr>
          <w:rFonts w:cs="Arial"/>
          <w:szCs w:val="24"/>
        </w:rPr>
        <w:t xml:space="preserve"> wissen, in we</w:t>
      </w:r>
      <w:r w:rsidRPr="0005020E">
        <w:rPr>
          <w:rFonts w:cs="Arial"/>
          <w:szCs w:val="24"/>
        </w:rPr>
        <w:t>l</w:t>
      </w:r>
      <w:r w:rsidRPr="0005020E">
        <w:rPr>
          <w:rFonts w:cs="Arial"/>
          <w:szCs w:val="24"/>
        </w:rPr>
        <w:t>chem Ausmaß die Preissenkung vorgenommen werden kann, ohne Verluste zu erleiden.</w:t>
      </w:r>
    </w:p>
    <w:p w:rsidR="004401A3" w:rsidRDefault="004401A3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0933CF" w:rsidRDefault="000933CF" w:rsidP="00052ED9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Drei Preisuntergrenzen werden unterschieden:</w:t>
      </w:r>
    </w:p>
    <w:p w:rsidR="00335BD3" w:rsidRDefault="000933CF" w:rsidP="00052ED9">
      <w:pPr>
        <w:pStyle w:val="Listenabsatz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Die langfristige Preisuntergrenze</w:t>
      </w:r>
    </w:p>
    <w:p w:rsidR="000933CF" w:rsidRDefault="000933CF" w:rsidP="00052ED9">
      <w:pPr>
        <w:pStyle w:val="Listenabsatz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Die kurzfristige Preisuntergrenze</w:t>
      </w:r>
    </w:p>
    <w:p w:rsidR="000933CF" w:rsidRDefault="000933CF" w:rsidP="00052ED9">
      <w:pPr>
        <w:pStyle w:val="Listenabsatz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Die liquiditätsorientierte Preisuntergrenze</w:t>
      </w:r>
    </w:p>
    <w:p w:rsidR="002F5721" w:rsidRDefault="002F5721" w:rsidP="000933CF">
      <w:pPr>
        <w:rPr>
          <w:rFonts w:cs="Arial"/>
          <w:szCs w:val="24"/>
        </w:rPr>
      </w:pPr>
    </w:p>
    <w:p w:rsidR="00AC00C1" w:rsidRDefault="00AC00C1" w:rsidP="000933CF">
      <w:pPr>
        <w:rPr>
          <w:rFonts w:cs="Arial"/>
          <w:szCs w:val="24"/>
        </w:rPr>
      </w:pPr>
      <w:r>
        <w:rPr>
          <w:rFonts w:cs="Arial"/>
          <w:szCs w:val="24"/>
        </w:rPr>
        <w:t>In Wikipedia findet er folgende Informationen:</w:t>
      </w:r>
    </w:p>
    <w:p w:rsidR="00AC00C1" w:rsidRPr="000933CF" w:rsidRDefault="00AC00C1" w:rsidP="000933CF">
      <w:pPr>
        <w:rPr>
          <w:rFonts w:cs="Arial"/>
          <w:szCs w:val="24"/>
        </w:rPr>
      </w:pPr>
    </w:p>
    <w:p w:rsidR="002F5721" w:rsidRDefault="00AC00C1" w:rsidP="00052ED9">
      <w:pPr>
        <w:rPr>
          <w:rFonts w:cs="Arial"/>
          <w:szCs w:val="24"/>
        </w:rPr>
      </w:pPr>
      <w:r>
        <w:rPr>
          <w:rFonts w:cs="Arial"/>
          <w:szCs w:val="24"/>
        </w:rPr>
        <w:t>„</w:t>
      </w:r>
      <w:r w:rsidR="00DC1FE5" w:rsidRPr="00DC1FE5">
        <w:rPr>
          <w:rFonts w:cs="Arial"/>
          <w:szCs w:val="24"/>
        </w:rPr>
        <w:t xml:space="preserve">Die </w:t>
      </w:r>
      <w:r w:rsidR="00DC1FE5" w:rsidRPr="00AC00C1">
        <w:rPr>
          <w:rFonts w:cs="Arial"/>
          <w:b/>
          <w:szCs w:val="24"/>
        </w:rPr>
        <w:t>langfristige Preisuntergrenze</w:t>
      </w:r>
      <w:r w:rsidR="00DC1FE5" w:rsidRPr="00DC1FE5">
        <w:rPr>
          <w:rFonts w:cs="Arial"/>
          <w:szCs w:val="24"/>
        </w:rPr>
        <w:t xml:space="preserve"> legt den Preis fest, der zu kostendeckenden Erlösen führt. Die Produktion kann in dieser Situation über längere Zeit fortgesetzt werden, da E</w:t>
      </w:r>
      <w:r w:rsidR="00DC1FE5" w:rsidRPr="00DC1FE5">
        <w:rPr>
          <w:rFonts w:cs="Arial"/>
          <w:szCs w:val="24"/>
        </w:rPr>
        <w:t>r</w:t>
      </w:r>
      <w:r w:rsidR="00DC1FE5" w:rsidRPr="00DC1FE5">
        <w:rPr>
          <w:rFonts w:cs="Arial"/>
          <w:szCs w:val="24"/>
        </w:rPr>
        <w:t>satzinvestitionen durchführbar sind. Zur Erhaltung der Arbeitsplätze und zur Stabilisierung des Absatzes wird die Unternehmensleitung diese Preisuntergrenze anstreben.</w:t>
      </w:r>
    </w:p>
    <w:p w:rsidR="00DC1FE5" w:rsidRDefault="00DC1FE5" w:rsidP="00052ED9">
      <w:pPr>
        <w:rPr>
          <w:rFonts w:cs="Arial"/>
          <w:szCs w:val="24"/>
        </w:rPr>
      </w:pPr>
    </w:p>
    <w:p w:rsidR="00AC00C1" w:rsidRDefault="00AC00C1" w:rsidP="00AC00C1">
      <w:pPr>
        <w:rPr>
          <w:rFonts w:cs="Arial"/>
          <w:szCs w:val="24"/>
        </w:rPr>
      </w:pPr>
      <w:r w:rsidRPr="00AC00C1">
        <w:rPr>
          <w:rFonts w:cs="Arial"/>
          <w:szCs w:val="24"/>
        </w:rPr>
        <w:t xml:space="preserve">Die </w:t>
      </w:r>
      <w:r w:rsidRPr="00AC00C1">
        <w:rPr>
          <w:rFonts w:cs="Arial"/>
          <w:b/>
          <w:szCs w:val="24"/>
        </w:rPr>
        <w:t>kurzfristige Preisuntergrenze</w:t>
      </w:r>
      <w:r w:rsidRPr="00AC00C1">
        <w:rPr>
          <w:rFonts w:cs="Arial"/>
          <w:szCs w:val="24"/>
        </w:rPr>
        <w:t xml:space="preserve"> (auch:</w:t>
      </w:r>
      <w:r w:rsidR="009A6335">
        <w:rPr>
          <w:rFonts w:cs="Arial"/>
          <w:szCs w:val="24"/>
        </w:rPr>
        <w:t xml:space="preserve"> </w:t>
      </w:r>
      <w:r w:rsidRPr="00AC00C1">
        <w:rPr>
          <w:rFonts w:cs="Arial"/>
          <w:szCs w:val="24"/>
        </w:rPr>
        <w:t>absolute Preisuntergrenze) legt den Preis fest, der genau die variablen Stückkosten deckt. In Höhe der gesamten fixen Kosten (= Kosten der Betriebsbereitschaft) ergibt sich dann ein Betriebsverlust.</w:t>
      </w:r>
    </w:p>
    <w:p w:rsidR="00AC00C1" w:rsidRPr="00AC00C1" w:rsidRDefault="00AC00C1" w:rsidP="00AC00C1">
      <w:pPr>
        <w:rPr>
          <w:rFonts w:cs="Arial"/>
          <w:szCs w:val="24"/>
        </w:rPr>
      </w:pPr>
    </w:p>
    <w:p w:rsidR="00AC00C1" w:rsidRPr="00AC00C1" w:rsidRDefault="00AC00C1" w:rsidP="00AC00C1">
      <w:pPr>
        <w:rPr>
          <w:rFonts w:cs="Arial"/>
          <w:szCs w:val="24"/>
        </w:rPr>
      </w:pPr>
      <w:r w:rsidRPr="00AC00C1">
        <w:rPr>
          <w:rFonts w:cs="Arial"/>
          <w:szCs w:val="24"/>
        </w:rPr>
        <w:t>Kurzfristige Preisuntergrenze = Variable Kosten geteilt durch Absatzmenge</w:t>
      </w:r>
    </w:p>
    <w:p w:rsidR="00AC00C1" w:rsidRDefault="00AC00C1" w:rsidP="00AC00C1">
      <w:pPr>
        <w:rPr>
          <w:rFonts w:cs="Arial"/>
          <w:szCs w:val="24"/>
        </w:rPr>
      </w:pPr>
    </w:p>
    <w:p w:rsidR="00AC00C1" w:rsidRDefault="00AC00C1" w:rsidP="00AC00C1">
      <w:pPr>
        <w:rPr>
          <w:rFonts w:cs="Arial"/>
          <w:szCs w:val="24"/>
        </w:rPr>
      </w:pPr>
      <w:r w:rsidRPr="00AC00C1">
        <w:rPr>
          <w:rFonts w:cs="Arial"/>
          <w:szCs w:val="24"/>
        </w:rPr>
        <w:t xml:space="preserve">Die kurzfristige oder absolute Preisuntergrenze ist erreicht, wenn der Nettoverkaufspreis gerade die variablen Stückkosten des Erzeugnisses deckt. Auf den Ersatz der ohnehin anfallenden Fixkosten wird vorübergehend verzichtet. </w:t>
      </w:r>
    </w:p>
    <w:p w:rsidR="00AC00C1" w:rsidRDefault="00AC00C1" w:rsidP="00AC00C1">
      <w:pPr>
        <w:rPr>
          <w:rFonts w:cs="Arial"/>
          <w:szCs w:val="24"/>
        </w:rPr>
      </w:pPr>
    </w:p>
    <w:p w:rsidR="00E91F98" w:rsidRDefault="00AC00C1" w:rsidP="00AC00C1">
      <w:pPr>
        <w:rPr>
          <w:rFonts w:cs="Arial"/>
        </w:rPr>
      </w:pPr>
      <w:r w:rsidRPr="00AC00C1">
        <w:rPr>
          <w:rFonts w:cs="Arial"/>
        </w:rPr>
        <w:t>Erfolgt die Ausrichtung der Verkaufspreise nach der kurzfristigen Preisuntergrenze, kann ein Unternehmen in Liquiditätsschwierigkeiten kommen. Da in der kurzfristigen Preisunte</w:t>
      </w:r>
      <w:r w:rsidRPr="00AC00C1">
        <w:rPr>
          <w:rFonts w:cs="Arial"/>
        </w:rPr>
        <w:t>r</w:t>
      </w:r>
      <w:r w:rsidRPr="00AC00C1">
        <w:rPr>
          <w:rFonts w:cs="Arial"/>
        </w:rPr>
        <w:t>grenze nur die variablen Kosten erfasst werden, bleiben die fixen Kosten, die kurzfristig zu Ausgaben führen, unberücksichtigt. Das sind insbesondere Mietaufwendungen, betriebl</w:t>
      </w:r>
      <w:r w:rsidRPr="00AC00C1">
        <w:rPr>
          <w:rFonts w:cs="Arial"/>
        </w:rPr>
        <w:t>i</w:t>
      </w:r>
      <w:r w:rsidRPr="00AC00C1">
        <w:rPr>
          <w:rFonts w:cs="Arial"/>
        </w:rPr>
        <w:t>che Steuern, Gehälter, Löhne, Sozialabgaben und Versicherungsbeiträge.</w:t>
      </w:r>
    </w:p>
    <w:p w:rsidR="00E91F98" w:rsidRDefault="00E91F98" w:rsidP="00AC00C1">
      <w:pPr>
        <w:rPr>
          <w:rFonts w:cs="Arial"/>
        </w:rPr>
      </w:pPr>
    </w:p>
    <w:p w:rsidR="00AC00C1" w:rsidRDefault="00AC00C1" w:rsidP="00AC00C1">
      <w:pPr>
        <w:rPr>
          <w:rFonts w:cs="Arial"/>
        </w:rPr>
      </w:pPr>
      <w:r w:rsidRPr="00AC00C1">
        <w:rPr>
          <w:rFonts w:cs="Arial"/>
        </w:rPr>
        <w:t xml:space="preserve">Die </w:t>
      </w:r>
      <w:r w:rsidRPr="00AC00C1">
        <w:rPr>
          <w:rFonts w:cs="Arial"/>
          <w:b/>
        </w:rPr>
        <w:t>liquiditätsorientierte Preisuntergrenze</w:t>
      </w:r>
      <w:r w:rsidRPr="00AC00C1">
        <w:rPr>
          <w:rFonts w:cs="Arial"/>
        </w:rPr>
        <w:t xml:space="preserve"> wird nach folgender Rechnung festgelegt:</w:t>
      </w:r>
    </w:p>
    <w:p w:rsidR="00AC00C1" w:rsidRPr="00AC00C1" w:rsidRDefault="00AC00C1" w:rsidP="00AC00C1">
      <w:pPr>
        <w:rPr>
          <w:rFonts w:cs="Arial"/>
        </w:rPr>
      </w:pPr>
    </w:p>
    <w:p w:rsidR="00335BD3" w:rsidRDefault="00AC00C1" w:rsidP="00AC00C1">
      <w:pPr>
        <w:rPr>
          <w:rFonts w:cs="Arial"/>
          <w:szCs w:val="24"/>
        </w:rPr>
      </w:pPr>
      <w:r w:rsidRPr="00AC00C1">
        <w:rPr>
          <w:rFonts w:cs="Arial"/>
        </w:rPr>
        <w:t>(Variable Kosten[Kv] + kurzfristig ausgabenwirksame fixe Kosten[Kf]) / Absatzmenge</w:t>
      </w:r>
      <w:r>
        <w:rPr>
          <w:rFonts w:cs="Arial"/>
        </w:rPr>
        <w:t>“</w:t>
      </w:r>
    </w:p>
    <w:p w:rsidR="004401A3" w:rsidRDefault="004401A3" w:rsidP="00052ED9">
      <w:pPr>
        <w:rPr>
          <w:rFonts w:cs="Arial"/>
          <w:sz w:val="20"/>
          <w:szCs w:val="20"/>
        </w:rPr>
      </w:pPr>
      <w:r w:rsidRPr="00CD7EF5">
        <w:rPr>
          <w:rFonts w:cs="Arial"/>
          <w:sz w:val="20"/>
          <w:szCs w:val="20"/>
        </w:rPr>
        <w:t xml:space="preserve">Quelle: </w:t>
      </w:r>
      <w:hyperlink r:id="rId8" w:history="1">
        <w:r w:rsidR="00CD7EF5" w:rsidRPr="0050199C">
          <w:rPr>
            <w:rStyle w:val="Hyperlink"/>
            <w:rFonts w:cs="Arial"/>
            <w:sz w:val="20"/>
            <w:szCs w:val="20"/>
          </w:rPr>
          <w:t>http://de.wikipedia.org/wiki/Preisuntergrenze</w:t>
        </w:r>
      </w:hyperlink>
    </w:p>
    <w:p w:rsidR="004401A3" w:rsidRDefault="004401A3" w:rsidP="00052ED9">
      <w:pPr>
        <w:rPr>
          <w:rFonts w:cs="Arial"/>
          <w:szCs w:val="24"/>
        </w:rPr>
      </w:pPr>
    </w:p>
    <w:p w:rsidR="009A6335" w:rsidRDefault="009A6335" w:rsidP="009A6335">
      <w:pPr>
        <w:pStyle w:val="Listenabsatz"/>
        <w:numPr>
          <w:ilvl w:val="0"/>
          <w:numId w:val="6"/>
        </w:numPr>
        <w:rPr>
          <w:rFonts w:cs="Arial"/>
          <w:b/>
          <w:szCs w:val="24"/>
          <w:u w:val="single"/>
        </w:rPr>
      </w:pPr>
      <w:r w:rsidRPr="009A6335">
        <w:rPr>
          <w:rFonts w:cs="Arial"/>
          <w:b/>
          <w:szCs w:val="24"/>
          <w:u w:val="single"/>
        </w:rPr>
        <w:t>Aufgabe</w:t>
      </w:r>
      <w:r>
        <w:rPr>
          <w:rFonts w:cs="Arial"/>
          <w:b/>
          <w:szCs w:val="24"/>
          <w:u w:val="single"/>
        </w:rPr>
        <w:t>:</w:t>
      </w:r>
    </w:p>
    <w:p w:rsidR="009A6335" w:rsidRDefault="009A6335" w:rsidP="009A6335">
      <w:pPr>
        <w:pStyle w:val="Listenabsatz"/>
        <w:ind w:left="360"/>
        <w:rPr>
          <w:rFonts w:cs="Arial"/>
          <w:szCs w:val="24"/>
        </w:rPr>
      </w:pPr>
      <w:r w:rsidRPr="009A6335">
        <w:rPr>
          <w:rFonts w:cs="Arial"/>
          <w:szCs w:val="24"/>
        </w:rPr>
        <w:t xml:space="preserve">Begründen </w:t>
      </w:r>
      <w:r>
        <w:rPr>
          <w:rFonts w:cs="Arial"/>
          <w:szCs w:val="24"/>
        </w:rPr>
        <w:t>Sie, warum die langfristige Preisuntergrenze zu kostendeckenden Erlösen führt.</w:t>
      </w:r>
    </w:p>
    <w:p w:rsidR="009A6335" w:rsidRDefault="009A6335" w:rsidP="009A6335">
      <w:pPr>
        <w:pStyle w:val="Listenabsatz"/>
        <w:ind w:left="360"/>
        <w:rPr>
          <w:rFonts w:cs="Arial"/>
          <w:szCs w:val="24"/>
        </w:rPr>
      </w:pPr>
    </w:p>
    <w:p w:rsidR="006B4CEA" w:rsidRDefault="006B4CEA" w:rsidP="009A6335">
      <w:pPr>
        <w:pStyle w:val="Listenabsatz"/>
        <w:ind w:left="360"/>
        <w:rPr>
          <w:rFonts w:cs="Arial"/>
          <w:b/>
          <w:szCs w:val="24"/>
        </w:rPr>
      </w:pPr>
    </w:p>
    <w:p w:rsidR="009A6A2C" w:rsidRDefault="009A6A2C" w:rsidP="009A6335">
      <w:pPr>
        <w:pStyle w:val="Listenabsatz"/>
        <w:ind w:left="360"/>
        <w:rPr>
          <w:rFonts w:cs="Arial"/>
          <w:b/>
          <w:szCs w:val="24"/>
        </w:rPr>
      </w:pPr>
    </w:p>
    <w:p w:rsidR="006B4CEA" w:rsidRDefault="006B4CEA" w:rsidP="006B4CEA">
      <w:pPr>
        <w:pStyle w:val="Listenabsatz"/>
        <w:numPr>
          <w:ilvl w:val="0"/>
          <w:numId w:val="6"/>
        </w:numPr>
        <w:rPr>
          <w:rFonts w:cs="Arial"/>
          <w:b/>
          <w:szCs w:val="24"/>
          <w:u w:val="single"/>
        </w:rPr>
      </w:pPr>
      <w:r w:rsidRPr="006B4CEA">
        <w:rPr>
          <w:rFonts w:cs="Arial"/>
          <w:b/>
          <w:szCs w:val="24"/>
          <w:u w:val="single"/>
        </w:rPr>
        <w:t>Aufgabe:</w:t>
      </w:r>
    </w:p>
    <w:p w:rsidR="006B4CEA" w:rsidRPr="006B4CEA" w:rsidRDefault="006B4CEA" w:rsidP="006B4CEA">
      <w:pPr>
        <w:pStyle w:val="Listenabsatz"/>
        <w:ind w:left="360"/>
        <w:rPr>
          <w:rFonts w:cs="Arial"/>
          <w:szCs w:val="24"/>
        </w:rPr>
      </w:pPr>
      <w:r w:rsidRPr="006B4CEA">
        <w:rPr>
          <w:rFonts w:cs="Arial"/>
          <w:szCs w:val="24"/>
        </w:rPr>
        <w:t>Erläutern Sie</w:t>
      </w:r>
      <w:r>
        <w:rPr>
          <w:rFonts w:cs="Arial"/>
          <w:szCs w:val="24"/>
        </w:rPr>
        <w:t>, welche Beziehungen zwischen Erlösen und Preisen (also zwischen E und P, zwischen e und p) und zwischen den Kosten (K, Kfix und Kvar sowie, zwischen Kvar und kvar sowie zwischen Kfix und kfix) bestehen, Absatzmenge = x</w:t>
      </w:r>
    </w:p>
    <w:p w:rsidR="006B4CEA" w:rsidRDefault="006B4CEA" w:rsidP="006B4CEA">
      <w:pPr>
        <w:pStyle w:val="Listenabsatz"/>
        <w:ind w:left="360"/>
        <w:rPr>
          <w:rFonts w:cs="Arial"/>
          <w:b/>
          <w:szCs w:val="24"/>
        </w:rPr>
      </w:pPr>
    </w:p>
    <w:p w:rsidR="006B4CEA" w:rsidRDefault="006B4CEA" w:rsidP="006B4CEA">
      <w:pPr>
        <w:pStyle w:val="Listenabsatz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Beziehung zwischen Erlösen und Preisen:</w:t>
      </w:r>
    </w:p>
    <w:p w:rsidR="009A6A2C" w:rsidRDefault="009A6A2C" w:rsidP="009A6335">
      <w:pPr>
        <w:pStyle w:val="Listenabsatz"/>
        <w:ind w:left="360"/>
        <w:rPr>
          <w:rFonts w:cs="Arial"/>
          <w:b/>
          <w:szCs w:val="24"/>
        </w:rPr>
      </w:pPr>
    </w:p>
    <w:p w:rsidR="006B4CEA" w:rsidRDefault="006B4CEA" w:rsidP="009A6335">
      <w:pPr>
        <w:pStyle w:val="Listenabsatz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Beziehungen zwischen den Kosten:</w:t>
      </w:r>
    </w:p>
    <w:p w:rsidR="009A6A2C" w:rsidRDefault="009A6A2C" w:rsidP="009A6A2C">
      <w:pPr>
        <w:pStyle w:val="Listenabsatz"/>
        <w:ind w:left="360"/>
        <w:rPr>
          <w:rFonts w:cs="Arial"/>
          <w:b/>
          <w:szCs w:val="24"/>
          <w:u w:val="single"/>
        </w:rPr>
      </w:pPr>
    </w:p>
    <w:p w:rsidR="009A6A2C" w:rsidRDefault="009A6A2C" w:rsidP="009A6A2C">
      <w:pPr>
        <w:pStyle w:val="Listenabsatz"/>
        <w:ind w:left="360"/>
        <w:rPr>
          <w:rFonts w:cs="Arial"/>
          <w:b/>
          <w:szCs w:val="24"/>
          <w:u w:val="single"/>
        </w:rPr>
      </w:pPr>
    </w:p>
    <w:p w:rsidR="009A6A2C" w:rsidRDefault="009A6A2C" w:rsidP="009A6A2C">
      <w:pPr>
        <w:pStyle w:val="Listenabsatz"/>
        <w:ind w:left="360"/>
        <w:rPr>
          <w:rFonts w:cs="Arial"/>
          <w:b/>
          <w:szCs w:val="24"/>
          <w:u w:val="single"/>
        </w:rPr>
      </w:pPr>
    </w:p>
    <w:p w:rsidR="009A6A2C" w:rsidRDefault="009A6A2C" w:rsidP="009A6A2C">
      <w:pPr>
        <w:pStyle w:val="Listenabsatz"/>
        <w:ind w:left="360"/>
        <w:rPr>
          <w:rFonts w:cs="Arial"/>
          <w:b/>
          <w:szCs w:val="24"/>
          <w:u w:val="single"/>
        </w:rPr>
      </w:pPr>
    </w:p>
    <w:p w:rsidR="009A6A2C" w:rsidRDefault="009A6A2C" w:rsidP="009A6A2C">
      <w:pPr>
        <w:pStyle w:val="Listenabsatz"/>
        <w:ind w:left="360"/>
        <w:rPr>
          <w:rFonts w:cs="Arial"/>
          <w:b/>
          <w:szCs w:val="24"/>
          <w:u w:val="single"/>
        </w:rPr>
      </w:pPr>
    </w:p>
    <w:p w:rsidR="009A6335" w:rsidRPr="009A6335" w:rsidRDefault="009A6335" w:rsidP="009A6335">
      <w:pPr>
        <w:pStyle w:val="Listenabsatz"/>
        <w:numPr>
          <w:ilvl w:val="0"/>
          <w:numId w:val="6"/>
        </w:numPr>
        <w:rPr>
          <w:rFonts w:cs="Arial"/>
          <w:b/>
          <w:szCs w:val="24"/>
          <w:u w:val="single"/>
        </w:rPr>
      </w:pPr>
      <w:r w:rsidRPr="009A6335">
        <w:rPr>
          <w:rFonts w:cs="Arial"/>
          <w:b/>
          <w:szCs w:val="24"/>
          <w:u w:val="single"/>
        </w:rPr>
        <w:lastRenderedPageBreak/>
        <w:t>Aufgabe:</w:t>
      </w:r>
    </w:p>
    <w:p w:rsidR="009A6335" w:rsidRDefault="009A6335" w:rsidP="009A6335">
      <w:pPr>
        <w:pStyle w:val="Listenabsatz"/>
        <w:ind w:left="360"/>
        <w:rPr>
          <w:rFonts w:cs="Arial"/>
          <w:szCs w:val="24"/>
        </w:rPr>
      </w:pPr>
      <w:r>
        <w:rPr>
          <w:rFonts w:cs="Arial"/>
          <w:szCs w:val="24"/>
        </w:rPr>
        <w:t>Unter welcher(n) Annahme(n) gilt diese Aussage?</w:t>
      </w:r>
    </w:p>
    <w:p w:rsidR="00CD7EF5" w:rsidRDefault="00CD7EF5" w:rsidP="009A6335">
      <w:pPr>
        <w:pStyle w:val="Listenabsatz"/>
        <w:ind w:left="360"/>
        <w:rPr>
          <w:rFonts w:cs="Arial"/>
          <w:szCs w:val="24"/>
        </w:rPr>
      </w:pPr>
    </w:p>
    <w:p w:rsidR="00304A01" w:rsidRDefault="00CD7EF5" w:rsidP="009A6335">
      <w:pPr>
        <w:pStyle w:val="Listenabsatz"/>
        <w:ind w:left="360"/>
        <w:rPr>
          <w:rFonts w:cs="Arial"/>
          <w:b/>
          <w:szCs w:val="24"/>
        </w:rPr>
      </w:pPr>
      <w:r w:rsidRPr="00CD7EF5">
        <w:rPr>
          <w:rFonts w:cs="Arial"/>
          <w:b/>
          <w:szCs w:val="24"/>
        </w:rPr>
        <w:t>Kfix = kfix * x</w:t>
      </w:r>
    </w:p>
    <w:p w:rsidR="00CD7EF5" w:rsidRPr="00CD7EF5" w:rsidRDefault="00CD7EF5" w:rsidP="009A6335">
      <w:pPr>
        <w:pStyle w:val="Listenabsatz"/>
        <w:ind w:left="360"/>
        <w:rPr>
          <w:rFonts w:cs="Arial"/>
          <w:b/>
          <w:szCs w:val="24"/>
        </w:rPr>
      </w:pPr>
    </w:p>
    <w:p w:rsidR="009A6A2C" w:rsidRDefault="009A6A2C" w:rsidP="009A6335">
      <w:pPr>
        <w:pStyle w:val="Listenabsatz"/>
        <w:ind w:left="360"/>
        <w:rPr>
          <w:rFonts w:cs="Arial"/>
          <w:b/>
          <w:szCs w:val="24"/>
        </w:rPr>
      </w:pPr>
    </w:p>
    <w:p w:rsidR="009A6A2C" w:rsidRDefault="009A6A2C" w:rsidP="009A6335">
      <w:pPr>
        <w:pStyle w:val="Listenabsatz"/>
        <w:ind w:left="360"/>
        <w:rPr>
          <w:rFonts w:cs="Arial"/>
          <w:b/>
          <w:szCs w:val="24"/>
        </w:rPr>
      </w:pPr>
    </w:p>
    <w:p w:rsidR="009A6A2C" w:rsidRDefault="009A6A2C" w:rsidP="009A6335">
      <w:pPr>
        <w:pStyle w:val="Listenabsatz"/>
        <w:ind w:left="360"/>
        <w:rPr>
          <w:rFonts w:cs="Arial"/>
          <w:b/>
          <w:szCs w:val="24"/>
        </w:rPr>
      </w:pPr>
    </w:p>
    <w:p w:rsidR="009A6A2C" w:rsidRDefault="009A6A2C" w:rsidP="009A6335">
      <w:pPr>
        <w:pStyle w:val="Listenabsatz"/>
        <w:ind w:left="360"/>
        <w:rPr>
          <w:rFonts w:cs="Arial"/>
          <w:b/>
          <w:szCs w:val="24"/>
        </w:rPr>
      </w:pPr>
    </w:p>
    <w:p w:rsidR="009A6A2C" w:rsidRDefault="009A6A2C" w:rsidP="009A6335">
      <w:pPr>
        <w:pStyle w:val="Listenabsatz"/>
        <w:ind w:left="360"/>
        <w:rPr>
          <w:rFonts w:cs="Arial"/>
          <w:szCs w:val="24"/>
        </w:rPr>
      </w:pPr>
    </w:p>
    <w:p w:rsidR="009A6335" w:rsidRPr="009A6335" w:rsidRDefault="009A6335" w:rsidP="009A6335">
      <w:pPr>
        <w:pStyle w:val="Listenabsatz"/>
        <w:numPr>
          <w:ilvl w:val="0"/>
          <w:numId w:val="6"/>
        </w:numPr>
        <w:rPr>
          <w:rFonts w:cs="Arial"/>
          <w:b/>
          <w:szCs w:val="24"/>
          <w:u w:val="single"/>
        </w:rPr>
      </w:pPr>
      <w:r w:rsidRPr="009A6335">
        <w:rPr>
          <w:rFonts w:cs="Arial"/>
          <w:b/>
          <w:szCs w:val="24"/>
          <w:u w:val="single"/>
        </w:rPr>
        <w:t>Aufgabe:</w:t>
      </w:r>
    </w:p>
    <w:p w:rsidR="009A6335" w:rsidRDefault="009A6335" w:rsidP="009A6335">
      <w:pPr>
        <w:pStyle w:val="Listenabsatz"/>
        <w:ind w:left="360"/>
        <w:rPr>
          <w:rFonts w:cs="Arial"/>
          <w:szCs w:val="24"/>
        </w:rPr>
      </w:pPr>
      <w:r>
        <w:rPr>
          <w:rFonts w:cs="Arial"/>
          <w:szCs w:val="24"/>
        </w:rPr>
        <w:t>Warum können bei einer langfristigen Preisuntergrenze Ersatzinvestitionen durchg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führt werden?</w:t>
      </w:r>
    </w:p>
    <w:p w:rsidR="005A05FC" w:rsidRDefault="005A05FC" w:rsidP="009A6335">
      <w:pPr>
        <w:pStyle w:val="Listenabsatz"/>
        <w:ind w:left="360"/>
        <w:rPr>
          <w:rFonts w:cs="Arial"/>
          <w:szCs w:val="24"/>
        </w:rPr>
      </w:pPr>
    </w:p>
    <w:p w:rsidR="009A6A2C" w:rsidRDefault="009A6A2C" w:rsidP="009A6335">
      <w:pPr>
        <w:pStyle w:val="Listenabsatz"/>
        <w:ind w:left="360"/>
        <w:rPr>
          <w:rFonts w:cs="Arial"/>
          <w:b/>
          <w:szCs w:val="24"/>
        </w:rPr>
      </w:pPr>
    </w:p>
    <w:p w:rsidR="009A6A2C" w:rsidRDefault="009A6A2C" w:rsidP="009A6335">
      <w:pPr>
        <w:pStyle w:val="Listenabsatz"/>
        <w:ind w:left="360"/>
        <w:rPr>
          <w:rFonts w:cs="Arial"/>
          <w:b/>
          <w:szCs w:val="24"/>
        </w:rPr>
      </w:pPr>
    </w:p>
    <w:p w:rsidR="009A6335" w:rsidRDefault="009A6335" w:rsidP="009A6335">
      <w:pPr>
        <w:pStyle w:val="Listenabsatz"/>
        <w:ind w:left="360"/>
        <w:rPr>
          <w:rFonts w:cs="Arial"/>
          <w:szCs w:val="24"/>
        </w:rPr>
      </w:pPr>
    </w:p>
    <w:p w:rsidR="00AC00C1" w:rsidRPr="009A6335" w:rsidRDefault="00AC00C1" w:rsidP="009A6335">
      <w:pPr>
        <w:pStyle w:val="Listenabsatz"/>
        <w:numPr>
          <w:ilvl w:val="0"/>
          <w:numId w:val="6"/>
        </w:numPr>
        <w:rPr>
          <w:rFonts w:cs="Arial"/>
          <w:b/>
          <w:szCs w:val="24"/>
          <w:u w:val="single"/>
        </w:rPr>
      </w:pPr>
      <w:r w:rsidRPr="009A6335">
        <w:rPr>
          <w:rFonts w:cs="Arial"/>
          <w:b/>
          <w:szCs w:val="24"/>
          <w:u w:val="single"/>
        </w:rPr>
        <w:t>Aufgabe:</w:t>
      </w:r>
    </w:p>
    <w:p w:rsidR="00AC00C1" w:rsidRDefault="00AC00C1" w:rsidP="00AC00C1">
      <w:pPr>
        <w:rPr>
          <w:rFonts w:cs="Arial"/>
          <w:szCs w:val="24"/>
        </w:rPr>
      </w:pPr>
      <w:r>
        <w:rPr>
          <w:rFonts w:cs="Arial"/>
          <w:szCs w:val="24"/>
        </w:rPr>
        <w:t>Um den Überblick nicht zu verlieren, legt sich Markus ein Schaubild in Form einer Tabelle an. Machen Sie es wie er!</w:t>
      </w:r>
    </w:p>
    <w:p w:rsidR="00AC00C1" w:rsidRDefault="00AC00C1" w:rsidP="00AC00C1">
      <w:pPr>
        <w:rPr>
          <w:rFonts w:cs="Arial"/>
          <w:szCs w:val="24"/>
        </w:rPr>
      </w:pPr>
    </w:p>
    <w:p w:rsidR="00152E13" w:rsidRDefault="00152E13" w:rsidP="00AC00C1">
      <w:pPr>
        <w:rPr>
          <w:rFonts w:cs="Arial"/>
          <w:szCs w:val="24"/>
        </w:rPr>
      </w:pPr>
    </w:p>
    <w:tbl>
      <w:tblPr>
        <w:tblStyle w:val="Tabellenraster"/>
        <w:tblW w:w="10090" w:type="dxa"/>
        <w:tblLayout w:type="fixed"/>
        <w:tblLook w:val="04A0" w:firstRow="1" w:lastRow="0" w:firstColumn="1" w:lastColumn="0" w:noHBand="0" w:noVBand="1"/>
      </w:tblPr>
      <w:tblGrid>
        <w:gridCol w:w="1653"/>
        <w:gridCol w:w="2566"/>
        <w:gridCol w:w="2977"/>
        <w:gridCol w:w="2894"/>
      </w:tblGrid>
      <w:tr w:rsidR="00AC00C1" w:rsidTr="00E91F98">
        <w:tc>
          <w:tcPr>
            <w:tcW w:w="10090" w:type="dxa"/>
            <w:gridSpan w:val="4"/>
          </w:tcPr>
          <w:p w:rsidR="00AC00C1" w:rsidRDefault="00AC00C1" w:rsidP="00152E13">
            <w:pPr>
              <w:jc w:val="center"/>
              <w:rPr>
                <w:rFonts w:cs="Arial"/>
                <w:szCs w:val="24"/>
              </w:rPr>
            </w:pPr>
            <w:r w:rsidRPr="000933CF">
              <w:rPr>
                <w:rFonts w:cs="Arial"/>
                <w:b/>
                <w:sz w:val="28"/>
                <w:szCs w:val="28"/>
              </w:rPr>
              <w:t>Preisuntergrenzen</w:t>
            </w:r>
          </w:p>
        </w:tc>
      </w:tr>
      <w:tr w:rsidR="00AC00C1" w:rsidTr="00B103E5">
        <w:tc>
          <w:tcPr>
            <w:tcW w:w="1653" w:type="dxa"/>
          </w:tcPr>
          <w:p w:rsidR="00AC00C1" w:rsidRDefault="00AC00C1" w:rsidP="00D94B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Arten</w:t>
            </w:r>
          </w:p>
        </w:tc>
        <w:tc>
          <w:tcPr>
            <w:tcW w:w="2566" w:type="dxa"/>
          </w:tcPr>
          <w:p w:rsidR="00AC00C1" w:rsidRPr="00E91F98" w:rsidRDefault="00AC00C1" w:rsidP="00D94BE9">
            <w:pPr>
              <w:rPr>
                <w:rFonts w:cs="Arial"/>
                <w:b/>
                <w:szCs w:val="24"/>
              </w:rPr>
            </w:pPr>
            <w:r w:rsidRPr="00E91F98">
              <w:rPr>
                <w:rFonts w:cs="Arial"/>
                <w:b/>
                <w:szCs w:val="24"/>
              </w:rPr>
              <w:t>langfristige Preisu</w:t>
            </w:r>
            <w:r w:rsidRPr="00E91F98">
              <w:rPr>
                <w:rFonts w:cs="Arial"/>
                <w:b/>
                <w:szCs w:val="24"/>
              </w:rPr>
              <w:t>n</w:t>
            </w:r>
            <w:r w:rsidRPr="00E91F98">
              <w:rPr>
                <w:rFonts w:cs="Arial"/>
                <w:b/>
                <w:szCs w:val="24"/>
              </w:rPr>
              <w:t>tergrenze</w:t>
            </w:r>
          </w:p>
          <w:p w:rsidR="00AC00C1" w:rsidRPr="00E91F98" w:rsidRDefault="00AC00C1" w:rsidP="00D94BE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977" w:type="dxa"/>
          </w:tcPr>
          <w:p w:rsidR="00AC00C1" w:rsidRPr="00E91F98" w:rsidRDefault="00AC00C1" w:rsidP="00D94BE9">
            <w:pPr>
              <w:rPr>
                <w:rFonts w:cs="Arial"/>
                <w:b/>
                <w:szCs w:val="24"/>
              </w:rPr>
            </w:pPr>
            <w:r w:rsidRPr="00E91F98">
              <w:rPr>
                <w:rFonts w:cs="Arial"/>
                <w:b/>
                <w:szCs w:val="24"/>
              </w:rPr>
              <w:t>kurzfristige Preisunte</w:t>
            </w:r>
            <w:r w:rsidRPr="00E91F98">
              <w:rPr>
                <w:rFonts w:cs="Arial"/>
                <w:b/>
                <w:szCs w:val="24"/>
              </w:rPr>
              <w:t>r</w:t>
            </w:r>
            <w:r w:rsidRPr="00E91F98">
              <w:rPr>
                <w:rFonts w:cs="Arial"/>
                <w:b/>
                <w:szCs w:val="24"/>
              </w:rPr>
              <w:t>grenze</w:t>
            </w:r>
          </w:p>
        </w:tc>
        <w:tc>
          <w:tcPr>
            <w:tcW w:w="2894" w:type="dxa"/>
          </w:tcPr>
          <w:p w:rsidR="00AC00C1" w:rsidRPr="00E91F98" w:rsidRDefault="00AC00C1" w:rsidP="00D94BE9">
            <w:pPr>
              <w:rPr>
                <w:rFonts w:cs="Arial"/>
                <w:b/>
                <w:szCs w:val="24"/>
              </w:rPr>
            </w:pPr>
            <w:r w:rsidRPr="00E91F98">
              <w:rPr>
                <w:rFonts w:cs="Arial"/>
                <w:b/>
                <w:szCs w:val="24"/>
              </w:rPr>
              <w:t>liquiditätsorientierte Preisuntergrenze</w:t>
            </w:r>
          </w:p>
        </w:tc>
      </w:tr>
      <w:tr w:rsidR="00AC00C1" w:rsidTr="00B103E5">
        <w:tc>
          <w:tcPr>
            <w:tcW w:w="1653" w:type="dxa"/>
          </w:tcPr>
          <w:p w:rsidR="00AC00C1" w:rsidRDefault="00AC00C1" w:rsidP="00D94B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Bedeutung</w:t>
            </w:r>
          </w:p>
        </w:tc>
        <w:tc>
          <w:tcPr>
            <w:tcW w:w="2566" w:type="dxa"/>
          </w:tcPr>
          <w:p w:rsidR="00AC00C1" w:rsidRDefault="00E91F98" w:rsidP="009B0FDD">
            <w:pPr>
              <w:rPr>
                <w:rFonts w:cs="Arial"/>
                <w:szCs w:val="24"/>
              </w:rPr>
            </w:pPr>
            <w:r w:rsidRPr="00DC1FE5">
              <w:rPr>
                <w:rFonts w:cs="Arial"/>
                <w:szCs w:val="24"/>
              </w:rPr>
              <w:t xml:space="preserve">Die </w:t>
            </w:r>
            <w:r w:rsidRPr="00AC00C1">
              <w:rPr>
                <w:rFonts w:cs="Arial"/>
                <w:b/>
                <w:szCs w:val="24"/>
              </w:rPr>
              <w:t>langfristige Preisuntergrenze</w:t>
            </w:r>
            <w:r w:rsidRPr="00DC1FE5">
              <w:rPr>
                <w:rFonts w:cs="Arial"/>
                <w:szCs w:val="24"/>
              </w:rPr>
              <w:t xml:space="preserve"> legt den Preis fest, der zu kostendecke</w:t>
            </w:r>
            <w:r w:rsidRPr="00DC1FE5">
              <w:rPr>
                <w:rFonts w:cs="Arial"/>
                <w:szCs w:val="24"/>
              </w:rPr>
              <w:t>n</w:t>
            </w:r>
            <w:r w:rsidRPr="00DC1FE5">
              <w:rPr>
                <w:rFonts w:cs="Arial"/>
                <w:szCs w:val="24"/>
              </w:rPr>
              <w:t xml:space="preserve">den Erlösen führt. </w:t>
            </w:r>
          </w:p>
        </w:tc>
        <w:tc>
          <w:tcPr>
            <w:tcW w:w="2977" w:type="dxa"/>
          </w:tcPr>
          <w:p w:rsidR="00AC00C1" w:rsidRDefault="00E91F98" w:rsidP="00D94BE9">
            <w:pPr>
              <w:rPr>
                <w:rFonts w:cs="Arial"/>
                <w:szCs w:val="24"/>
              </w:rPr>
            </w:pPr>
            <w:r w:rsidRPr="00AC00C1">
              <w:rPr>
                <w:rFonts w:cs="Arial"/>
                <w:szCs w:val="24"/>
              </w:rPr>
              <w:t xml:space="preserve">Die </w:t>
            </w:r>
            <w:r w:rsidRPr="00AC00C1">
              <w:rPr>
                <w:rFonts w:cs="Arial"/>
                <w:b/>
                <w:szCs w:val="24"/>
              </w:rPr>
              <w:t>kurzfristige Preisu</w:t>
            </w:r>
            <w:r w:rsidRPr="00AC00C1">
              <w:rPr>
                <w:rFonts w:cs="Arial"/>
                <w:b/>
                <w:szCs w:val="24"/>
              </w:rPr>
              <w:t>n</w:t>
            </w:r>
            <w:r w:rsidRPr="00AC00C1">
              <w:rPr>
                <w:rFonts w:cs="Arial"/>
                <w:b/>
                <w:szCs w:val="24"/>
              </w:rPr>
              <w:t>tergrenze</w:t>
            </w:r>
            <w:r w:rsidRPr="00AC00C1">
              <w:rPr>
                <w:rFonts w:cs="Arial"/>
                <w:szCs w:val="24"/>
              </w:rPr>
              <w:t xml:space="preserve"> (auch:</w:t>
            </w:r>
            <w:r>
              <w:rPr>
                <w:rFonts w:cs="Arial"/>
                <w:szCs w:val="24"/>
              </w:rPr>
              <w:t xml:space="preserve"> </w:t>
            </w:r>
            <w:r w:rsidRPr="00AC00C1">
              <w:rPr>
                <w:rFonts w:cs="Arial"/>
                <w:szCs w:val="24"/>
              </w:rPr>
              <w:t>absol</w:t>
            </w:r>
            <w:r w:rsidRPr="00AC00C1">
              <w:rPr>
                <w:rFonts w:cs="Arial"/>
                <w:szCs w:val="24"/>
              </w:rPr>
              <w:t>u</w:t>
            </w:r>
            <w:r w:rsidRPr="00AC00C1">
              <w:rPr>
                <w:rFonts w:cs="Arial"/>
                <w:szCs w:val="24"/>
              </w:rPr>
              <w:t>te Preisuntergrenze) legt den Preis fest, der genau die variablen Stückkosten deckt. In Höhe der g</w:t>
            </w:r>
            <w:r w:rsidRPr="00AC00C1">
              <w:rPr>
                <w:rFonts w:cs="Arial"/>
                <w:szCs w:val="24"/>
              </w:rPr>
              <w:t>e</w:t>
            </w:r>
            <w:r w:rsidRPr="00AC00C1">
              <w:rPr>
                <w:rFonts w:cs="Arial"/>
                <w:szCs w:val="24"/>
              </w:rPr>
              <w:t>samten fixen Kosten (= Kosten der Betriebsb</w:t>
            </w:r>
            <w:r w:rsidRPr="00AC00C1">
              <w:rPr>
                <w:rFonts w:cs="Arial"/>
                <w:szCs w:val="24"/>
              </w:rPr>
              <w:t>e</w:t>
            </w:r>
            <w:r w:rsidRPr="00AC00C1">
              <w:rPr>
                <w:rFonts w:cs="Arial"/>
                <w:szCs w:val="24"/>
              </w:rPr>
              <w:t>reitschaft) ergibt sich dann ein Betriebsverlust.</w:t>
            </w:r>
          </w:p>
        </w:tc>
        <w:tc>
          <w:tcPr>
            <w:tcW w:w="2894" w:type="dxa"/>
          </w:tcPr>
          <w:p w:rsidR="00AC00C1" w:rsidRDefault="00E91F98" w:rsidP="00D94BE9">
            <w:pPr>
              <w:rPr>
                <w:rFonts w:cs="Arial"/>
                <w:szCs w:val="24"/>
              </w:rPr>
            </w:pPr>
            <w:r w:rsidRPr="00AC00C1">
              <w:rPr>
                <w:rFonts w:cs="Arial"/>
              </w:rPr>
              <w:t>Erfolgt die Ausrichtung der Verkaufspreise nach der kurzfristigen Preisu</w:t>
            </w:r>
            <w:r w:rsidRPr="00AC00C1">
              <w:rPr>
                <w:rFonts w:cs="Arial"/>
              </w:rPr>
              <w:t>n</w:t>
            </w:r>
            <w:r w:rsidRPr="00AC00C1">
              <w:rPr>
                <w:rFonts w:cs="Arial"/>
              </w:rPr>
              <w:t>tergrenze, kann ein U</w:t>
            </w:r>
            <w:r w:rsidRPr="00AC00C1">
              <w:rPr>
                <w:rFonts w:cs="Arial"/>
              </w:rPr>
              <w:t>n</w:t>
            </w:r>
            <w:r w:rsidRPr="00AC00C1">
              <w:rPr>
                <w:rFonts w:cs="Arial"/>
              </w:rPr>
              <w:t>ternehmen in Liquidität</w:t>
            </w:r>
            <w:r w:rsidRPr="00AC00C1">
              <w:rPr>
                <w:rFonts w:cs="Arial"/>
              </w:rPr>
              <w:t>s</w:t>
            </w:r>
            <w:r w:rsidRPr="00AC00C1">
              <w:rPr>
                <w:rFonts w:cs="Arial"/>
              </w:rPr>
              <w:t>schwierigkeiten ko</w:t>
            </w:r>
            <w:r w:rsidRPr="00AC00C1">
              <w:rPr>
                <w:rFonts w:cs="Arial"/>
              </w:rPr>
              <w:t>m</w:t>
            </w:r>
            <w:r w:rsidRPr="00AC00C1">
              <w:rPr>
                <w:rFonts w:cs="Arial"/>
              </w:rPr>
              <w:t>men. Da in der kurzfrist</w:t>
            </w:r>
            <w:r w:rsidRPr="00AC00C1">
              <w:rPr>
                <w:rFonts w:cs="Arial"/>
              </w:rPr>
              <w:t>i</w:t>
            </w:r>
            <w:r w:rsidRPr="00AC00C1">
              <w:rPr>
                <w:rFonts w:cs="Arial"/>
              </w:rPr>
              <w:t>gen Preisuntergrenze nur die variablen Kosten erfasst werden, bleiben die fixen Kosten, die kurzfristig zu Ausgaben führen, unberücksichtigt.</w:t>
            </w:r>
            <w:r>
              <w:rPr>
                <w:rFonts w:cs="Arial"/>
              </w:rPr>
              <w:t xml:space="preserve"> Sie müssen deshalb in die PUGLiqui einbez</w:t>
            </w:r>
            <w:r>
              <w:rPr>
                <w:rFonts w:cs="Arial"/>
              </w:rPr>
              <w:t>o</w:t>
            </w:r>
            <w:r>
              <w:rPr>
                <w:rFonts w:cs="Arial"/>
              </w:rPr>
              <w:t>gen werden.</w:t>
            </w:r>
          </w:p>
        </w:tc>
      </w:tr>
      <w:tr w:rsidR="00AC00C1" w:rsidTr="00B103E5">
        <w:tc>
          <w:tcPr>
            <w:tcW w:w="1653" w:type="dxa"/>
          </w:tcPr>
          <w:p w:rsidR="00AC00C1" w:rsidRDefault="00AC00C1" w:rsidP="00D94B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Berechnung</w:t>
            </w:r>
          </w:p>
        </w:tc>
        <w:tc>
          <w:tcPr>
            <w:tcW w:w="2566" w:type="dxa"/>
          </w:tcPr>
          <w:p w:rsidR="00AC00C1" w:rsidRDefault="00AC00C1" w:rsidP="00D94B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Langfristige Preisu</w:t>
            </w:r>
            <w:r>
              <w:rPr>
                <w:rFonts w:cs="Arial"/>
                <w:szCs w:val="24"/>
              </w:rPr>
              <w:t>n</w:t>
            </w:r>
            <w:r>
              <w:rPr>
                <w:rFonts w:cs="Arial"/>
                <w:szCs w:val="24"/>
              </w:rPr>
              <w:t>tergrenze = Variable Kosten + fixe Kosten geteilt durch Absat</w:t>
            </w:r>
            <w:r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menge</w:t>
            </w:r>
          </w:p>
          <w:p w:rsidR="00AC00C1" w:rsidRDefault="00AC00C1" w:rsidP="00D94BE9">
            <w:pPr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:rsidR="00AC00C1" w:rsidRPr="00DC1FE5" w:rsidRDefault="00AC00C1" w:rsidP="00D94BE9">
            <w:pPr>
              <w:rPr>
                <w:rFonts w:cs="Arial"/>
                <w:szCs w:val="24"/>
              </w:rPr>
            </w:pPr>
            <w:r w:rsidRPr="00DC1FE5">
              <w:rPr>
                <w:rFonts w:cs="Arial"/>
                <w:szCs w:val="24"/>
              </w:rPr>
              <w:t>Kurzfristige Preisunte</w:t>
            </w:r>
            <w:r w:rsidRPr="00DC1FE5">
              <w:rPr>
                <w:rFonts w:cs="Arial"/>
                <w:szCs w:val="24"/>
              </w:rPr>
              <w:t>r</w:t>
            </w:r>
            <w:r w:rsidRPr="00DC1FE5">
              <w:rPr>
                <w:rFonts w:cs="Arial"/>
                <w:szCs w:val="24"/>
              </w:rPr>
              <w:t>grenze = Variable Kosten geteilt durch Absatzme</w:t>
            </w:r>
            <w:r w:rsidRPr="00DC1FE5">
              <w:rPr>
                <w:rFonts w:cs="Arial"/>
                <w:szCs w:val="24"/>
              </w:rPr>
              <w:t>n</w:t>
            </w:r>
            <w:r w:rsidRPr="00DC1FE5">
              <w:rPr>
                <w:rFonts w:cs="Arial"/>
                <w:szCs w:val="24"/>
              </w:rPr>
              <w:t>ge</w:t>
            </w:r>
          </w:p>
          <w:p w:rsidR="00AC00C1" w:rsidRDefault="00AC00C1" w:rsidP="00D94BE9">
            <w:pPr>
              <w:rPr>
                <w:rFonts w:cs="Arial"/>
                <w:szCs w:val="24"/>
              </w:rPr>
            </w:pPr>
          </w:p>
        </w:tc>
        <w:tc>
          <w:tcPr>
            <w:tcW w:w="2894" w:type="dxa"/>
          </w:tcPr>
          <w:p w:rsidR="00AC00C1" w:rsidRDefault="00AC00C1" w:rsidP="00D94B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Liquiditätsorientierte Preisuntergrenze = </w:t>
            </w:r>
            <w:r w:rsidRPr="00DC1FE5">
              <w:rPr>
                <w:rFonts w:cs="Arial"/>
                <w:szCs w:val="24"/>
              </w:rPr>
              <w:t>(V</w:t>
            </w:r>
            <w:r w:rsidRPr="00DC1FE5">
              <w:rPr>
                <w:rFonts w:cs="Arial"/>
                <w:szCs w:val="24"/>
              </w:rPr>
              <w:t>a</w:t>
            </w:r>
            <w:r w:rsidRPr="00DC1FE5">
              <w:rPr>
                <w:rFonts w:cs="Arial"/>
                <w:szCs w:val="24"/>
              </w:rPr>
              <w:t>riable Kosten[Kv] + kur</w:t>
            </w:r>
            <w:r w:rsidRPr="00DC1FE5">
              <w:rPr>
                <w:rFonts w:cs="Arial"/>
                <w:szCs w:val="24"/>
              </w:rPr>
              <w:t>z</w:t>
            </w:r>
            <w:r w:rsidRPr="00DC1FE5">
              <w:rPr>
                <w:rFonts w:cs="Arial"/>
                <w:szCs w:val="24"/>
              </w:rPr>
              <w:t>fristig ausgabenwirks</w:t>
            </w:r>
            <w:r w:rsidRPr="00DC1FE5">
              <w:rPr>
                <w:rFonts w:cs="Arial"/>
                <w:szCs w:val="24"/>
              </w:rPr>
              <w:t>a</w:t>
            </w:r>
            <w:r w:rsidRPr="00DC1FE5">
              <w:rPr>
                <w:rFonts w:cs="Arial"/>
                <w:szCs w:val="24"/>
              </w:rPr>
              <w:t>me fixe Kosten[Kf]) / A</w:t>
            </w:r>
            <w:r w:rsidRPr="00DC1FE5">
              <w:rPr>
                <w:rFonts w:cs="Arial"/>
                <w:szCs w:val="24"/>
              </w:rPr>
              <w:t>b</w:t>
            </w:r>
            <w:r w:rsidRPr="00DC1FE5">
              <w:rPr>
                <w:rFonts w:cs="Arial"/>
                <w:szCs w:val="24"/>
              </w:rPr>
              <w:t>satzmenge</w:t>
            </w:r>
          </w:p>
        </w:tc>
      </w:tr>
      <w:tr w:rsidR="00AC00C1" w:rsidTr="00B103E5">
        <w:tc>
          <w:tcPr>
            <w:tcW w:w="1653" w:type="dxa"/>
          </w:tcPr>
          <w:p w:rsidR="00AC00C1" w:rsidRDefault="00AC00C1" w:rsidP="00D94B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Formel</w:t>
            </w:r>
          </w:p>
        </w:tc>
        <w:tc>
          <w:tcPr>
            <w:tcW w:w="2566" w:type="dxa"/>
          </w:tcPr>
          <w:p w:rsidR="00AC00C1" w:rsidRDefault="00AC00C1" w:rsidP="00D94B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PUGlang = (Kvar + Kfix) / x</w:t>
            </w:r>
          </w:p>
          <w:p w:rsidR="00AC00C1" w:rsidRDefault="00AC00C1" w:rsidP="00D94BE9">
            <w:pPr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:rsidR="00AC00C1" w:rsidRDefault="00AC00C1" w:rsidP="00D94B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PUGkurz = Kvar / x</w:t>
            </w:r>
          </w:p>
        </w:tc>
        <w:tc>
          <w:tcPr>
            <w:tcW w:w="2894" w:type="dxa"/>
          </w:tcPr>
          <w:p w:rsidR="00AC00C1" w:rsidRDefault="00AC00C1" w:rsidP="00E91F9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PUG</w:t>
            </w:r>
            <w:r w:rsidR="00E91F98">
              <w:rPr>
                <w:rFonts w:cs="Arial"/>
                <w:szCs w:val="24"/>
              </w:rPr>
              <w:t>L</w:t>
            </w:r>
            <w:r>
              <w:rPr>
                <w:rFonts w:cs="Arial"/>
                <w:szCs w:val="24"/>
              </w:rPr>
              <w:t xml:space="preserve">iqui = (Kvar + Kfix(ausgabenwirksam)) / x </w:t>
            </w:r>
          </w:p>
        </w:tc>
      </w:tr>
      <w:tr w:rsidR="00AC00C1" w:rsidTr="00B103E5">
        <w:tc>
          <w:tcPr>
            <w:tcW w:w="1653" w:type="dxa"/>
          </w:tcPr>
          <w:p w:rsidR="00AC00C1" w:rsidRDefault="009B0FDD" w:rsidP="00D94B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Kostend</w:t>
            </w:r>
            <w:r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>ckung</w:t>
            </w:r>
          </w:p>
        </w:tc>
        <w:tc>
          <w:tcPr>
            <w:tcW w:w="2566" w:type="dxa"/>
          </w:tcPr>
          <w:p w:rsidR="009B0FDD" w:rsidRDefault="009B0FDD" w:rsidP="009B0FDD">
            <w:pPr>
              <w:rPr>
                <w:rFonts w:cs="Arial"/>
                <w:szCs w:val="24"/>
              </w:rPr>
            </w:pPr>
            <w:r w:rsidRPr="00DC1FE5">
              <w:rPr>
                <w:rFonts w:cs="Arial"/>
                <w:szCs w:val="24"/>
              </w:rPr>
              <w:t xml:space="preserve">Die Produktion kann in dieser Situation über längere Zeit fortgesetzt werden, </w:t>
            </w:r>
            <w:r>
              <w:rPr>
                <w:rFonts w:cs="Arial"/>
                <w:szCs w:val="24"/>
              </w:rPr>
              <w:t xml:space="preserve">da die Leistungen die Kosten decken und </w:t>
            </w:r>
            <w:r w:rsidRPr="00DC1FE5">
              <w:rPr>
                <w:rFonts w:cs="Arial"/>
                <w:szCs w:val="24"/>
              </w:rPr>
              <w:t>da</w:t>
            </w:r>
            <w:r>
              <w:rPr>
                <w:rFonts w:cs="Arial"/>
                <w:szCs w:val="24"/>
              </w:rPr>
              <w:t>mit (über die Ref</w:t>
            </w:r>
            <w:r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nanzierung der AfA) </w:t>
            </w:r>
            <w:r w:rsidRPr="00DC1FE5">
              <w:rPr>
                <w:rFonts w:cs="Arial"/>
                <w:szCs w:val="24"/>
              </w:rPr>
              <w:t xml:space="preserve"> Ersatzinvestitionen durchführbar sind.</w:t>
            </w:r>
          </w:p>
          <w:p w:rsidR="009B0FDD" w:rsidRDefault="009B0FDD" w:rsidP="00D94BE9">
            <w:pPr>
              <w:rPr>
                <w:rFonts w:cs="Arial"/>
                <w:szCs w:val="24"/>
              </w:rPr>
            </w:pPr>
          </w:p>
          <w:p w:rsidR="00AC00C1" w:rsidRDefault="00AC00C1" w:rsidP="00D94BE9">
            <w:pPr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:rsidR="00AC00C1" w:rsidRDefault="00AC00C1" w:rsidP="00D94B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Die (anteiligen) Fixkosten werden nicht gedeckt. Die Produktion erwir</w:t>
            </w:r>
            <w:r>
              <w:rPr>
                <w:rFonts w:cs="Arial"/>
                <w:szCs w:val="24"/>
              </w:rPr>
              <w:t>t</w:t>
            </w:r>
            <w:r>
              <w:rPr>
                <w:rFonts w:cs="Arial"/>
                <w:szCs w:val="24"/>
              </w:rPr>
              <w:t>schaftet mehr Aufwe</w:t>
            </w:r>
            <w:r>
              <w:rPr>
                <w:rFonts w:cs="Arial"/>
                <w:szCs w:val="24"/>
              </w:rPr>
              <w:t>n</w:t>
            </w:r>
            <w:r>
              <w:rPr>
                <w:rFonts w:cs="Arial"/>
                <w:szCs w:val="24"/>
              </w:rPr>
              <w:t>dungen als Erträge = Ve</w:t>
            </w:r>
            <w:r>
              <w:rPr>
                <w:rFonts w:cs="Arial"/>
                <w:szCs w:val="24"/>
              </w:rPr>
              <w:t>r</w:t>
            </w:r>
            <w:r>
              <w:rPr>
                <w:rFonts w:cs="Arial"/>
                <w:szCs w:val="24"/>
              </w:rPr>
              <w:t>luste</w:t>
            </w:r>
          </w:p>
        </w:tc>
        <w:tc>
          <w:tcPr>
            <w:tcW w:w="2894" w:type="dxa"/>
          </w:tcPr>
          <w:p w:rsidR="00AC00C1" w:rsidRDefault="00AC00C1" w:rsidP="00D94B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Die (anteiligen) Fixko</w:t>
            </w:r>
            <w:r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ten werden nicht g</w:t>
            </w:r>
            <w:r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>deckt. Die Produktion erwirtschaftet mehr Au</w:t>
            </w:r>
            <w:r>
              <w:rPr>
                <w:rFonts w:cs="Arial"/>
                <w:szCs w:val="24"/>
              </w:rPr>
              <w:t>f</w:t>
            </w:r>
            <w:r>
              <w:rPr>
                <w:rFonts w:cs="Arial"/>
                <w:szCs w:val="24"/>
              </w:rPr>
              <w:t>wendungen als Erträge = Verluste, allerdings we</w:t>
            </w:r>
            <w:r>
              <w:rPr>
                <w:rFonts w:cs="Arial"/>
                <w:szCs w:val="24"/>
              </w:rPr>
              <w:t>r</w:t>
            </w:r>
            <w:r>
              <w:rPr>
                <w:rFonts w:cs="Arial"/>
                <w:szCs w:val="24"/>
              </w:rPr>
              <w:t>den die anfallenden Auszahlungen gedeckt (Liquidität besteht we</w:t>
            </w:r>
            <w:r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>ter).</w:t>
            </w:r>
          </w:p>
        </w:tc>
      </w:tr>
      <w:tr w:rsidR="00AC00C1" w:rsidTr="00B103E5">
        <w:tc>
          <w:tcPr>
            <w:tcW w:w="1653" w:type="dxa"/>
          </w:tcPr>
          <w:p w:rsidR="00AC00C1" w:rsidRDefault="00AC00C1" w:rsidP="009B0F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</w:t>
            </w:r>
            <w:r w:rsidR="009B0FDD">
              <w:rPr>
                <w:rFonts w:cs="Arial"/>
                <w:szCs w:val="24"/>
              </w:rPr>
              <w:t>urteilung im Prei</w:t>
            </w:r>
            <w:r w:rsidR="009B0FDD">
              <w:rPr>
                <w:rFonts w:cs="Arial"/>
                <w:szCs w:val="24"/>
              </w:rPr>
              <w:t>s</w:t>
            </w:r>
            <w:r w:rsidR="009B0FDD">
              <w:rPr>
                <w:rFonts w:cs="Arial"/>
                <w:szCs w:val="24"/>
              </w:rPr>
              <w:t>kampf</w:t>
            </w:r>
          </w:p>
        </w:tc>
        <w:tc>
          <w:tcPr>
            <w:tcW w:w="2566" w:type="dxa"/>
          </w:tcPr>
          <w:p w:rsidR="009B0FDD" w:rsidRDefault="009B0FDD" w:rsidP="009B0FDD">
            <w:pPr>
              <w:rPr>
                <w:rFonts w:cs="Arial"/>
                <w:szCs w:val="24"/>
              </w:rPr>
            </w:pPr>
            <w:r w:rsidRPr="002F5721">
              <w:rPr>
                <w:rFonts w:cs="Arial"/>
                <w:szCs w:val="24"/>
              </w:rPr>
              <w:t>Zur Erhaltung der Arbeitsplätze und zur Stabilisierung des Absatzes wird die Unternehmensleitung diese Preisuntergre</w:t>
            </w:r>
            <w:r w:rsidRPr="002F5721">
              <w:rPr>
                <w:rFonts w:cs="Arial"/>
                <w:szCs w:val="24"/>
              </w:rPr>
              <w:t>n</w:t>
            </w:r>
            <w:r w:rsidRPr="002F5721">
              <w:rPr>
                <w:rFonts w:cs="Arial"/>
                <w:szCs w:val="24"/>
              </w:rPr>
              <w:t>ze anstreben</w:t>
            </w:r>
            <w:r>
              <w:rPr>
                <w:rFonts w:cs="Arial"/>
                <w:szCs w:val="24"/>
              </w:rPr>
              <w:t>.</w:t>
            </w:r>
          </w:p>
          <w:p w:rsidR="00AC00C1" w:rsidRDefault="00AC00C1" w:rsidP="00D94BE9">
            <w:pPr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:rsidR="00AC00C1" w:rsidRDefault="00AC00C1" w:rsidP="00E91F9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Wie lange ein solcher Preis aufrechterhalten werden kann, hängt u. a. von der Eigenkapitalau</w:t>
            </w:r>
            <w:r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stattung </w:t>
            </w:r>
            <w:r w:rsidR="00E91F98">
              <w:rPr>
                <w:rFonts w:cs="Arial"/>
                <w:szCs w:val="24"/>
              </w:rPr>
              <w:t>und den zur Ve</w:t>
            </w:r>
            <w:r w:rsidR="00E91F98">
              <w:rPr>
                <w:rFonts w:cs="Arial"/>
                <w:szCs w:val="24"/>
              </w:rPr>
              <w:t>r</w:t>
            </w:r>
            <w:r w:rsidR="00E91F98">
              <w:rPr>
                <w:rFonts w:cs="Arial"/>
                <w:szCs w:val="24"/>
              </w:rPr>
              <w:t>fügung stehenden liqu</w:t>
            </w:r>
            <w:r w:rsidR="00E91F98">
              <w:rPr>
                <w:rFonts w:cs="Arial"/>
                <w:szCs w:val="24"/>
              </w:rPr>
              <w:t>i</w:t>
            </w:r>
            <w:r w:rsidR="00E91F98">
              <w:rPr>
                <w:rFonts w:cs="Arial"/>
                <w:szCs w:val="24"/>
              </w:rPr>
              <w:t xml:space="preserve">den Mitteln </w:t>
            </w:r>
            <w:r>
              <w:rPr>
                <w:rFonts w:cs="Arial"/>
                <w:szCs w:val="24"/>
              </w:rPr>
              <w:t>ab.</w:t>
            </w:r>
          </w:p>
        </w:tc>
        <w:tc>
          <w:tcPr>
            <w:tcW w:w="2894" w:type="dxa"/>
          </w:tcPr>
          <w:p w:rsidR="00AC00C1" w:rsidRDefault="00AC00C1" w:rsidP="00B103E5">
            <w:pPr>
              <w:rPr>
                <w:rFonts w:cs="Arial"/>
                <w:szCs w:val="24"/>
              </w:rPr>
            </w:pPr>
            <w:r w:rsidRPr="00DE63D6">
              <w:rPr>
                <w:rFonts w:cs="Arial"/>
                <w:szCs w:val="24"/>
              </w:rPr>
              <w:t xml:space="preserve">Wie lange ein solcher Preis aufrechterhalten werden kann, hängt u. a. von der </w:t>
            </w:r>
            <w:r w:rsidR="00603629" w:rsidRPr="00DE63D6">
              <w:rPr>
                <w:rFonts w:cs="Arial"/>
                <w:szCs w:val="24"/>
              </w:rPr>
              <w:t>Eigenkapita</w:t>
            </w:r>
            <w:r w:rsidR="00603629">
              <w:rPr>
                <w:rFonts w:cs="Arial"/>
                <w:szCs w:val="24"/>
              </w:rPr>
              <w:t>l</w:t>
            </w:r>
            <w:r w:rsidR="00603629" w:rsidRPr="00DE63D6">
              <w:rPr>
                <w:rFonts w:cs="Arial"/>
                <w:szCs w:val="24"/>
              </w:rPr>
              <w:t>ausstattung</w:t>
            </w:r>
            <w:r>
              <w:rPr>
                <w:rFonts w:cs="Arial"/>
                <w:szCs w:val="24"/>
              </w:rPr>
              <w:t xml:space="preserve"> und den zur Verfügung stehenden liquiden Mitteln</w:t>
            </w:r>
            <w:r w:rsidRPr="00DE63D6">
              <w:rPr>
                <w:rFonts w:cs="Arial"/>
                <w:szCs w:val="24"/>
              </w:rPr>
              <w:t xml:space="preserve"> ab.</w:t>
            </w:r>
          </w:p>
        </w:tc>
      </w:tr>
    </w:tbl>
    <w:p w:rsidR="00AC00C1" w:rsidRDefault="00AC00C1" w:rsidP="00AC00C1">
      <w:pPr>
        <w:rPr>
          <w:rFonts w:cs="Arial"/>
          <w:szCs w:val="24"/>
        </w:rPr>
      </w:pPr>
    </w:p>
    <w:p w:rsidR="00335BD3" w:rsidRDefault="00335BD3" w:rsidP="00052ED9">
      <w:pPr>
        <w:rPr>
          <w:rFonts w:cs="Arial"/>
          <w:szCs w:val="24"/>
        </w:rPr>
      </w:pPr>
    </w:p>
    <w:p w:rsidR="00335BD3" w:rsidRDefault="00F2554D" w:rsidP="00F2554D">
      <w:pPr>
        <w:pStyle w:val="Listenabsatz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Aufgabe:</w:t>
      </w:r>
    </w:p>
    <w:p w:rsidR="00CC1D32" w:rsidRDefault="00CC1D32" w:rsidP="00CC1D32">
      <w:pPr>
        <w:pStyle w:val="Listenabsatz"/>
        <w:ind w:left="360"/>
        <w:rPr>
          <w:rFonts w:cs="Arial"/>
          <w:szCs w:val="24"/>
        </w:rPr>
      </w:pPr>
      <w:r>
        <w:rPr>
          <w:rFonts w:cs="Arial"/>
          <w:szCs w:val="24"/>
        </w:rPr>
        <w:t>Untersuchen Sie die fixen Kosten der Habedank-Säfte GmbH auf ihre Ausgabenwir</w:t>
      </w:r>
      <w:r>
        <w:rPr>
          <w:rFonts w:cs="Arial"/>
          <w:szCs w:val="24"/>
        </w:rPr>
        <w:t>k</w:t>
      </w:r>
      <w:r>
        <w:rPr>
          <w:rFonts w:cs="Arial"/>
          <w:szCs w:val="24"/>
        </w:rPr>
        <w:t>samkeit.</w:t>
      </w:r>
    </w:p>
    <w:p w:rsidR="00CC1D32" w:rsidRDefault="00CC1D32" w:rsidP="00CC1D32">
      <w:pPr>
        <w:pStyle w:val="Listenabsatz"/>
        <w:ind w:left="360"/>
        <w:rPr>
          <w:rFonts w:cs="Arial"/>
          <w:szCs w:val="24"/>
        </w:rPr>
      </w:pPr>
      <w:r>
        <w:rPr>
          <w:rFonts w:cs="Arial"/>
          <w:szCs w:val="24"/>
        </w:rPr>
        <w:t>Benutzen Sie dazu die folgende Tabelle und kreuzen Sie die ausgabewirksamen fixen Kosten an!</w:t>
      </w:r>
      <w:r w:rsidR="0094056B">
        <w:rPr>
          <w:rFonts w:cs="Arial"/>
          <w:szCs w:val="24"/>
        </w:rPr>
        <w:t xml:space="preserve"> Ermitteln S</w:t>
      </w:r>
      <w:r w:rsidR="00DF2006">
        <w:rPr>
          <w:rFonts w:cs="Arial"/>
          <w:szCs w:val="24"/>
        </w:rPr>
        <w:t>ie die ausgabenfixen Kosten der einzelnen Produkte!</w:t>
      </w:r>
    </w:p>
    <w:p w:rsidR="00CC1D32" w:rsidRDefault="00CC1D32" w:rsidP="00CC1D32">
      <w:pPr>
        <w:pStyle w:val="Listenabsatz"/>
        <w:ind w:left="360"/>
        <w:rPr>
          <w:rFonts w:cs="Arial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7"/>
        <w:gridCol w:w="1635"/>
        <w:gridCol w:w="1651"/>
        <w:gridCol w:w="1528"/>
        <w:gridCol w:w="1540"/>
        <w:gridCol w:w="1377"/>
      </w:tblGrid>
      <w:tr w:rsidR="004177D6" w:rsidTr="00003348">
        <w:trPr>
          <w:trHeight w:val="547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2"/>
              </w:rPr>
              <w:t>Produkte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Summe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Produkt 1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Produkt 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Produkt 3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ausgabe-wirksam</w:t>
            </w:r>
          </w:p>
        </w:tc>
      </w:tr>
      <w:tr w:rsidR="004177D6" w:rsidTr="00003348">
        <w:trPr>
          <w:trHeight w:val="274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Markenartikel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Markenartikel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LIDL (1 + 2)</w:t>
            </w:r>
          </w:p>
        </w:tc>
        <w:tc>
          <w:tcPr>
            <w:tcW w:w="7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003348">
        <w:trPr>
          <w:trHeight w:val="547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603629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2"/>
              </w:rPr>
              <w:t>Absatzmenge</w:t>
            </w:r>
            <w:r w:rsidR="004177D6">
              <w:rPr>
                <w:rFonts w:eastAsiaTheme="minorHAnsi" w:cs="Arial"/>
                <w:b/>
                <w:bCs/>
                <w:color w:val="000000"/>
                <w:sz w:val="22"/>
              </w:rPr>
              <w:t xml:space="preserve"> Kartons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230.917,00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69.250,00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89.167,00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72.500,00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003348">
        <w:trPr>
          <w:trHeight w:val="274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2"/>
              </w:rPr>
              <w:t>Fixe Kosten: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24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2"/>
              </w:rPr>
              <w:t>Verteilung der produktfixen Kosten: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</w:tr>
      <w:tr w:rsidR="004177D6" w:rsidTr="00003348">
        <w:trPr>
          <w:trHeight w:val="274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Reiniger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4.500,00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003348">
        <w:trPr>
          <w:trHeight w:val="274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Diesel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5.462,00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003348">
        <w:trPr>
          <w:trHeight w:val="274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Benzin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1.109,28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003348">
        <w:trPr>
          <w:trHeight w:val="274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Löhne alt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238.800,00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003348">
        <w:trPr>
          <w:trHeight w:val="547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Lohn neuer Mit</w:t>
            </w:r>
            <w:r w:rsidR="009A6A2C">
              <w:rPr>
                <w:rFonts w:eastAsiaTheme="minorHAnsi" w:cs="Arial"/>
                <w:color w:val="000000"/>
                <w:sz w:val="22"/>
              </w:rPr>
              <w:t>a</w:t>
            </w:r>
            <w:r w:rsidR="009A6A2C">
              <w:rPr>
                <w:rFonts w:eastAsiaTheme="minorHAnsi" w:cs="Arial"/>
                <w:color w:val="000000"/>
                <w:sz w:val="22"/>
              </w:rPr>
              <w:t>r</w:t>
            </w:r>
            <w:r>
              <w:rPr>
                <w:rFonts w:eastAsiaTheme="minorHAnsi" w:cs="Arial"/>
                <w:color w:val="000000"/>
                <w:sz w:val="22"/>
              </w:rPr>
              <w:t>beiter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22.167,00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003348">
        <w:trPr>
          <w:trHeight w:val="274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Beiträge BG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1.560,00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573302">
        <w:trPr>
          <w:trHeight w:val="289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Abschreibungen alt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25.109,49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573302">
        <w:trPr>
          <w:trHeight w:val="566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Abschreibungen Ersatzinvestitionen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1.040,19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573302">
        <w:trPr>
          <w:trHeight w:val="560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Abschreibungen Neuinvestitionen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1.137,00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003348">
        <w:trPr>
          <w:trHeight w:val="274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Miete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54.000,00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003348">
        <w:trPr>
          <w:trHeight w:val="274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Steuer Kfz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135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003348">
        <w:trPr>
          <w:trHeight w:val="274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Steuer LKW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180,3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E425F1">
        <w:trPr>
          <w:trHeight w:val="365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Versicherung Kfz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673,48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E425F1">
        <w:trPr>
          <w:trHeight w:val="281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lastRenderedPageBreak/>
              <w:t>Versicherung LKW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1.833,00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E425F1">
        <w:trPr>
          <w:trHeight w:val="258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Wartungskosten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1.200,00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003348">
        <w:trPr>
          <w:trHeight w:val="274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Büromaterial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924,37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003348">
        <w:trPr>
          <w:trHeight w:val="274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Telekom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1.512,60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E425F1">
        <w:trPr>
          <w:trHeight w:val="538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Zinsen Sparkasse Berlin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3.637,89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E425F1">
        <w:trPr>
          <w:trHeight w:val="560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Zinsen Dresdner Bank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1.485,64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4177D6" w:rsidTr="00003348">
        <w:trPr>
          <w:trHeight w:val="547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2"/>
              </w:rPr>
              <w:t>Summe ausgabe-wirksame Kfix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D6" w:rsidRDefault="00417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</w:tr>
    </w:tbl>
    <w:p w:rsidR="00CC1D32" w:rsidRDefault="00CC1D32" w:rsidP="00CC1D32">
      <w:pPr>
        <w:pStyle w:val="Listenabsatz"/>
        <w:ind w:left="360"/>
        <w:rPr>
          <w:rFonts w:cs="Arial"/>
          <w:szCs w:val="24"/>
        </w:rPr>
      </w:pPr>
    </w:p>
    <w:p w:rsidR="00CC1D32" w:rsidRDefault="00CC1D32" w:rsidP="00CC1D32">
      <w:pPr>
        <w:pStyle w:val="Listenabsatz"/>
        <w:ind w:left="360"/>
        <w:rPr>
          <w:rFonts w:cs="Arial"/>
          <w:szCs w:val="24"/>
        </w:rPr>
      </w:pPr>
    </w:p>
    <w:p w:rsidR="00CC1D32" w:rsidRDefault="00CC1D32" w:rsidP="00F2554D">
      <w:pPr>
        <w:pStyle w:val="Listenabsatz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Aufgabe:</w:t>
      </w:r>
    </w:p>
    <w:p w:rsidR="00F2554D" w:rsidRDefault="00F2554D" w:rsidP="00F2554D">
      <w:pPr>
        <w:pStyle w:val="Listenabsatz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Berechnen Sie die 3 Preisuntergrenzen für die drei Produkte der Habedank-Säfte GmbH. Legen Sie dazu ein eine Tabelle an. </w:t>
      </w:r>
    </w:p>
    <w:p w:rsidR="00F2554D" w:rsidRDefault="00F2554D" w:rsidP="00F2554D">
      <w:pPr>
        <w:pStyle w:val="Listenabsatz"/>
        <w:ind w:left="360"/>
        <w:rPr>
          <w:rFonts w:cs="Arial"/>
          <w:szCs w:val="24"/>
        </w:rPr>
      </w:pPr>
      <w:r>
        <w:rPr>
          <w:rFonts w:cs="Arial"/>
          <w:szCs w:val="24"/>
        </w:rPr>
        <w:t>(Hilfsmittel: Wenn verfügbar, sollten Sie diese Aufgabe in EXCEL lösen, es geht aber auch ohne!)</w:t>
      </w:r>
    </w:p>
    <w:p w:rsidR="00F2554D" w:rsidRDefault="00F2554D" w:rsidP="00F2554D">
      <w:pPr>
        <w:pStyle w:val="Listenabsatz"/>
        <w:ind w:left="360"/>
        <w:rPr>
          <w:rFonts w:cs="Arial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80"/>
        <w:gridCol w:w="1916"/>
        <w:gridCol w:w="1901"/>
        <w:gridCol w:w="1901"/>
      </w:tblGrid>
      <w:tr w:rsidR="00152E13" w:rsidTr="00152E13">
        <w:trPr>
          <w:trHeight w:val="34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13" w:rsidRDefault="00152E13" w:rsidP="00152E1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  <w:t>Berechnung der Preisuntergrenzen</w:t>
            </w:r>
          </w:p>
        </w:tc>
      </w:tr>
      <w:tr w:rsidR="009305D1" w:rsidTr="00003348">
        <w:trPr>
          <w:trHeight w:val="274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9305D1" w:rsidTr="00003348">
        <w:trPr>
          <w:trHeight w:val="307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Eingabefelder: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Produkt 1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Produkt 2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Produkt 3</w:t>
            </w:r>
          </w:p>
        </w:tc>
      </w:tr>
      <w:tr w:rsidR="009305D1" w:rsidTr="00003348">
        <w:trPr>
          <w:trHeight w:val="298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Variable Kosten: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9305D1" w:rsidTr="00003348">
        <w:trPr>
          <w:trHeight w:val="689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Variable Kosten pro Stück kvar: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9305D1" w:rsidTr="00003348">
        <w:trPr>
          <w:trHeight w:val="487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Absatzmenge: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9305D1" w:rsidTr="00003348">
        <w:trPr>
          <w:trHeight w:val="274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Fixe Kosten Kfix: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9305D1" w:rsidTr="00003348">
        <w:trPr>
          <w:trHeight w:val="274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davon ausgabenwirksame Kfix: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9305D1" w:rsidTr="00003348">
        <w:trPr>
          <w:trHeight w:val="274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9305D1" w:rsidTr="00003348">
        <w:trPr>
          <w:trHeight w:val="274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2"/>
              </w:rPr>
              <w:t>kurzfristige PUG: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</w:tr>
      <w:tr w:rsidR="009305D1" w:rsidTr="00003348">
        <w:trPr>
          <w:trHeight w:val="274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2"/>
              </w:rPr>
              <w:t>liquiditätsorientierte PUG: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</w:tr>
      <w:tr w:rsidR="009305D1" w:rsidTr="00003348">
        <w:trPr>
          <w:trHeight w:val="274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2"/>
              </w:rPr>
              <w:t>langfristige PUG: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</w:tr>
      <w:tr w:rsidR="009305D1" w:rsidTr="00003348">
        <w:trPr>
          <w:trHeight w:val="274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9305D1" w:rsidTr="00003348">
        <w:trPr>
          <w:trHeight w:val="274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2"/>
              </w:rPr>
              <w:t>Erlöse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9305D1" w:rsidTr="00003348">
        <w:trPr>
          <w:trHeight w:val="274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2"/>
              </w:rPr>
              <w:t>db1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9305D1" w:rsidTr="00003348">
        <w:trPr>
          <w:trHeight w:val="274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2"/>
              </w:rPr>
              <w:t>db2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D1" w:rsidRDefault="009305D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</w:tbl>
    <w:p w:rsidR="00335BD3" w:rsidRDefault="00335BD3" w:rsidP="00052ED9">
      <w:pPr>
        <w:rPr>
          <w:rFonts w:cs="Arial"/>
          <w:szCs w:val="24"/>
        </w:rPr>
      </w:pPr>
    </w:p>
    <w:p w:rsidR="004177D6" w:rsidRDefault="004177D6">
      <w:pPr>
        <w:rPr>
          <w:rFonts w:cs="Arial"/>
          <w:szCs w:val="24"/>
        </w:rPr>
      </w:pPr>
    </w:p>
    <w:p w:rsidR="00335BD3" w:rsidRDefault="00E67C08" w:rsidP="00E67C08">
      <w:pPr>
        <w:pStyle w:val="Listenabsatz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Aufgabe:</w:t>
      </w:r>
    </w:p>
    <w:p w:rsidR="00E67C08" w:rsidRDefault="00E67C08" w:rsidP="00E67C08">
      <w:pPr>
        <w:pStyle w:val="Listenabsatz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Markus möchte </w:t>
      </w:r>
      <w:r w:rsidR="004177D6">
        <w:rPr>
          <w:rFonts w:cs="Arial"/>
          <w:szCs w:val="24"/>
        </w:rPr>
        <w:t xml:space="preserve">bei der Ermittlung der Preisuntergrenzen </w:t>
      </w:r>
      <w:r>
        <w:rPr>
          <w:rFonts w:cs="Arial"/>
          <w:szCs w:val="24"/>
        </w:rPr>
        <w:t>alle möglichen künftigen A</w:t>
      </w:r>
      <w:r>
        <w:rPr>
          <w:rFonts w:cs="Arial"/>
          <w:szCs w:val="24"/>
        </w:rPr>
        <w:t>b</w:t>
      </w:r>
      <w:r>
        <w:rPr>
          <w:rFonts w:cs="Arial"/>
          <w:szCs w:val="24"/>
        </w:rPr>
        <w:t>satzentwicklungen seiner Produkte berücksichtigen. Er möchte deshalb eine mehrst</w:t>
      </w:r>
      <w:r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fige Deckungsbeitragsrechnung anlegen, in der er die Absatzmengen seiner Produkte variieren kann. </w:t>
      </w:r>
    </w:p>
    <w:p w:rsidR="00E67C08" w:rsidRDefault="00E67C08" w:rsidP="00E67C08">
      <w:pPr>
        <w:pStyle w:val="Listenabsatz"/>
        <w:ind w:left="360"/>
        <w:rPr>
          <w:rFonts w:cs="Arial"/>
          <w:szCs w:val="24"/>
        </w:rPr>
      </w:pPr>
    </w:p>
    <w:p w:rsidR="00B638B1" w:rsidRDefault="00E67C08" w:rsidP="00B638B1">
      <w:pPr>
        <w:pStyle w:val="Listenabsatz"/>
        <w:numPr>
          <w:ilvl w:val="0"/>
          <w:numId w:val="9"/>
        </w:numPr>
        <w:rPr>
          <w:rFonts w:cs="Arial"/>
          <w:szCs w:val="24"/>
        </w:rPr>
      </w:pPr>
      <w:r>
        <w:rPr>
          <w:rFonts w:cs="Arial"/>
          <w:szCs w:val="24"/>
        </w:rPr>
        <w:t>Legen Sie eine entsprechende mehrstufige Deckungsbeitragsrechnung an.</w:t>
      </w:r>
      <w:r w:rsidR="00E425F1">
        <w:rPr>
          <w:rFonts w:cs="Arial"/>
          <w:szCs w:val="24"/>
        </w:rPr>
        <w:t xml:space="preserve"> Ve</w:t>
      </w:r>
      <w:r w:rsidR="00E425F1">
        <w:rPr>
          <w:rFonts w:cs="Arial"/>
          <w:szCs w:val="24"/>
        </w:rPr>
        <w:t>r</w:t>
      </w:r>
      <w:r w:rsidR="00E425F1">
        <w:rPr>
          <w:rFonts w:cs="Arial"/>
          <w:szCs w:val="24"/>
        </w:rPr>
        <w:t>wenden Sie die Vorlage nach Aufgabe b).</w:t>
      </w:r>
    </w:p>
    <w:p w:rsidR="00E67C08" w:rsidRDefault="00E67C08" w:rsidP="00B638B1">
      <w:pPr>
        <w:pStyle w:val="Listenabsatz"/>
        <w:numPr>
          <w:ilvl w:val="0"/>
          <w:numId w:val="9"/>
        </w:numPr>
        <w:rPr>
          <w:rFonts w:cs="Arial"/>
          <w:szCs w:val="24"/>
        </w:rPr>
      </w:pPr>
      <w:r>
        <w:rPr>
          <w:rFonts w:cs="Arial"/>
          <w:szCs w:val="24"/>
        </w:rPr>
        <w:t>Wie verändern sich die DB1 und DB2</w:t>
      </w:r>
      <w:r w:rsidR="00B638B1">
        <w:rPr>
          <w:rFonts w:cs="Arial"/>
          <w:szCs w:val="24"/>
        </w:rPr>
        <w:t xml:space="preserve"> und das Betriebsergebnis</w:t>
      </w:r>
      <w:r>
        <w:rPr>
          <w:rFonts w:cs="Arial"/>
          <w:szCs w:val="24"/>
        </w:rPr>
        <w:t>, wenn folgende Absatzänderungen passieren? D</w:t>
      </w:r>
      <w:r w:rsidR="00B638B1">
        <w:rPr>
          <w:rFonts w:cs="Arial"/>
          <w:szCs w:val="24"/>
        </w:rPr>
        <w:t xml:space="preserve">er Absatz des </w:t>
      </w:r>
      <w:r>
        <w:rPr>
          <w:rFonts w:cs="Arial"/>
          <w:szCs w:val="24"/>
        </w:rPr>
        <w:t>Markenprodukt</w:t>
      </w:r>
      <w:r w:rsidR="00B638B1">
        <w:rPr>
          <w:rFonts w:cs="Arial"/>
          <w:szCs w:val="24"/>
        </w:rPr>
        <w:t>es</w:t>
      </w:r>
      <w:r>
        <w:rPr>
          <w:rFonts w:cs="Arial"/>
          <w:szCs w:val="24"/>
        </w:rPr>
        <w:t xml:space="preserve"> 0,33l geh</w:t>
      </w:r>
      <w:r w:rsidR="00B638B1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 um 10.000</w:t>
      </w:r>
      <w:r w:rsidR="00B638B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Kartons, d</w:t>
      </w:r>
      <w:r w:rsidR="00B638B1">
        <w:rPr>
          <w:rFonts w:cs="Arial"/>
          <w:szCs w:val="24"/>
        </w:rPr>
        <w:t>er des</w:t>
      </w:r>
      <w:r>
        <w:rPr>
          <w:rFonts w:cs="Arial"/>
          <w:szCs w:val="24"/>
        </w:rPr>
        <w:t xml:space="preserve"> Markenprodukt</w:t>
      </w:r>
      <w:r w:rsidR="00B638B1">
        <w:rPr>
          <w:rFonts w:cs="Arial"/>
          <w:szCs w:val="24"/>
        </w:rPr>
        <w:t>es</w:t>
      </w:r>
      <w:r>
        <w:rPr>
          <w:rFonts w:cs="Arial"/>
          <w:szCs w:val="24"/>
        </w:rPr>
        <w:t xml:space="preserve"> 0,7l geht um 20.000 Kartons zurück. Der Absatz bei LIDL steigt um 25.000 Kartons</w:t>
      </w:r>
      <w:r w:rsidR="00B638B1">
        <w:rPr>
          <w:rFonts w:cs="Arial"/>
          <w:szCs w:val="24"/>
        </w:rPr>
        <w:t>.</w:t>
      </w:r>
    </w:p>
    <w:p w:rsidR="00B638B1" w:rsidRDefault="00B638B1" w:rsidP="00CB082D">
      <w:pPr>
        <w:ind w:left="360"/>
        <w:rPr>
          <w:rFonts w:cs="Arial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40"/>
        <w:gridCol w:w="1691"/>
        <w:gridCol w:w="2128"/>
        <w:gridCol w:w="1984"/>
        <w:gridCol w:w="2155"/>
      </w:tblGrid>
      <w:tr w:rsidR="00FA6582" w:rsidTr="00FA6582">
        <w:trPr>
          <w:trHeight w:val="34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6582" w:rsidRDefault="00FA65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Theme="minorHAnsi" w:cs="Arial"/>
                <w:b/>
                <w:bCs/>
                <w:color w:val="000000"/>
                <w:sz w:val="32"/>
                <w:szCs w:val="32"/>
              </w:rPr>
              <w:t>Mehrstufige Deckungsbeitragsrechnung</w:t>
            </w:r>
          </w:p>
        </w:tc>
      </w:tr>
      <w:tr w:rsidR="00CB082D" w:rsidTr="00003348">
        <w:trPr>
          <w:trHeight w:val="271"/>
        </w:trPr>
        <w:tc>
          <w:tcPr>
            <w:tcW w:w="17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Unternehmen</w:t>
            </w:r>
          </w:p>
        </w:tc>
        <w:tc>
          <w:tcPr>
            <w:tcW w:w="32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Unternehmen Habedank Säfte GmbH</w:t>
            </w:r>
          </w:p>
        </w:tc>
      </w:tr>
      <w:tr w:rsidR="00003348" w:rsidTr="00003348">
        <w:trPr>
          <w:trHeight w:val="24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Gruppen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Gruppe 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Gruppe 2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CB082D" w:rsidTr="00003348">
        <w:trPr>
          <w:trHeight w:val="730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Kartons zu 12 Fl</w:t>
            </w:r>
            <w:r>
              <w:rPr>
                <w:rFonts w:eastAsiaTheme="minorHAnsi" w:cs="Arial"/>
                <w:color w:val="000000"/>
                <w:szCs w:val="24"/>
              </w:rPr>
              <w:t>a</w:t>
            </w:r>
            <w:r>
              <w:rPr>
                <w:rFonts w:eastAsiaTheme="minorHAnsi" w:cs="Arial"/>
                <w:color w:val="000000"/>
                <w:szCs w:val="24"/>
              </w:rPr>
              <w:t>schen je 0,33 Liter</w:t>
            </w:r>
          </w:p>
        </w:tc>
        <w:tc>
          <w:tcPr>
            <w:tcW w:w="2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Kartons zu 12 Flaschen je 0,7 Liter</w:t>
            </w:r>
          </w:p>
        </w:tc>
      </w:tr>
      <w:tr w:rsidR="00003348" w:rsidTr="00003348">
        <w:trPr>
          <w:trHeight w:val="24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Produkte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Summe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Produkt 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Produkt 2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Produkt 3</w:t>
            </w:r>
          </w:p>
        </w:tc>
      </w:tr>
      <w:tr w:rsidR="00003348" w:rsidTr="00003348">
        <w:trPr>
          <w:trHeight w:val="24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Markenartikel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Markenartikel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LIDL (1 + 2)</w:t>
            </w:r>
          </w:p>
        </w:tc>
      </w:tr>
      <w:tr w:rsidR="00003348" w:rsidTr="00003348">
        <w:trPr>
          <w:trHeight w:val="487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Anzahl der Kunden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9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5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3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1</w:t>
            </w:r>
          </w:p>
        </w:tc>
      </w:tr>
      <w:tr w:rsidR="00CB082D" w:rsidTr="00003348">
        <w:trPr>
          <w:trHeight w:val="245"/>
        </w:trPr>
        <w:tc>
          <w:tcPr>
            <w:tcW w:w="17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Pr="00687BC2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Cs w:val="24"/>
              </w:rPr>
            </w:pPr>
            <w:r w:rsidRPr="00687BC2">
              <w:rPr>
                <w:rFonts w:eastAsiaTheme="minorHAnsi" w:cs="Arial"/>
                <w:b/>
                <w:color w:val="000000"/>
                <w:szCs w:val="24"/>
              </w:rPr>
              <w:t>Absatzänderung</w:t>
            </w:r>
            <w:r w:rsidR="00687BC2">
              <w:rPr>
                <w:rFonts w:eastAsiaTheme="minorHAnsi" w:cs="Arial"/>
                <w:b/>
                <w:color w:val="000000"/>
                <w:szCs w:val="24"/>
              </w:rPr>
              <w:t>en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487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Anzahl der Ka</w:t>
            </w:r>
            <w:r>
              <w:rPr>
                <w:rFonts w:eastAsiaTheme="minorHAnsi" w:cs="Arial"/>
                <w:color w:val="000000"/>
                <w:szCs w:val="24"/>
              </w:rPr>
              <w:t>r</w:t>
            </w:r>
            <w:r>
              <w:rPr>
                <w:rFonts w:eastAsiaTheme="minorHAnsi" w:cs="Arial"/>
                <w:color w:val="000000"/>
                <w:szCs w:val="24"/>
              </w:rPr>
              <w:t>tons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24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Liter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24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Preis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252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Leistungen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</w:tr>
      <w:tr w:rsidR="00CB082D" w:rsidTr="00003348">
        <w:trPr>
          <w:trHeight w:val="252"/>
        </w:trPr>
        <w:tc>
          <w:tcPr>
            <w:tcW w:w="17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Variable Kosten</w:t>
            </w:r>
          </w:p>
        </w:tc>
        <w:tc>
          <w:tcPr>
            <w:tcW w:w="10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</w:tr>
      <w:tr w:rsidR="00003348" w:rsidTr="00003348">
        <w:trPr>
          <w:trHeight w:val="449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Material lt. Prod.-Plan*Kartons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003348" w:rsidTr="00003348">
        <w:trPr>
          <w:trHeight w:val="672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Energie netto, aufgeteilt nach Litern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003348" w:rsidTr="00003348">
        <w:trPr>
          <w:trHeight w:val="449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Wasser, aufg</w:t>
            </w:r>
            <w:r>
              <w:rPr>
                <w:rFonts w:eastAsiaTheme="minorHAnsi" w:cs="Arial"/>
                <w:color w:val="000000"/>
                <w:sz w:val="22"/>
              </w:rPr>
              <w:t>e</w:t>
            </w:r>
            <w:r>
              <w:rPr>
                <w:rFonts w:eastAsiaTheme="minorHAnsi" w:cs="Arial"/>
                <w:color w:val="000000"/>
                <w:sz w:val="22"/>
              </w:rPr>
              <w:t>teilt nach Litern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003348" w:rsidTr="00003348">
        <w:trPr>
          <w:trHeight w:val="252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Kvar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</w:tr>
      <w:tr w:rsidR="00003348" w:rsidTr="00003348">
        <w:trPr>
          <w:trHeight w:val="252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kvar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</w:tr>
      <w:tr w:rsidR="00003348" w:rsidTr="00003348">
        <w:trPr>
          <w:trHeight w:val="252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DB1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</w:tr>
      <w:tr w:rsidR="00003348" w:rsidTr="00003348">
        <w:trPr>
          <w:trHeight w:val="252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db1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</w:tr>
      <w:tr w:rsidR="00687BC2" w:rsidTr="00687BC2">
        <w:trPr>
          <w:trHeight w:val="281"/>
        </w:trPr>
        <w:tc>
          <w:tcPr>
            <w:tcW w:w="17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BC2" w:rsidRDefault="00687BC2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  <w:t>Fixe Kosten</w:t>
            </w:r>
          </w:p>
        </w:tc>
        <w:tc>
          <w:tcPr>
            <w:tcW w:w="32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BC2" w:rsidRDefault="00687BC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  <w:t>Verteilung der produktfixen Kosten:</w:t>
            </w:r>
          </w:p>
        </w:tc>
      </w:tr>
      <w:tr w:rsidR="00003348" w:rsidTr="00003348">
        <w:trPr>
          <w:trHeight w:val="24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Reiniger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24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Diesel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24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Benzin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24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Löhne alt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430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Lohn neuer Mita</w:t>
            </w:r>
            <w:r>
              <w:rPr>
                <w:rFonts w:eastAsiaTheme="minorHAnsi" w:cs="Arial"/>
                <w:color w:val="000000"/>
                <w:sz w:val="20"/>
                <w:szCs w:val="20"/>
              </w:rPr>
              <w:t>r</w:t>
            </w:r>
            <w:r>
              <w:rPr>
                <w:rFonts w:eastAsiaTheme="minorHAnsi" w:cs="Arial"/>
                <w:color w:val="000000"/>
                <w:sz w:val="20"/>
                <w:szCs w:val="20"/>
              </w:rPr>
              <w:t>beiter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430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Beiträge Berufs-</w:t>
            </w:r>
          </w:p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genossenschaft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24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Abschreibungen alt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430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Abschreibungen Ersatzinvestitionen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430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Abschreibungen Neuinvestitionen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24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Miete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24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Steuer Kfz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24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Steuer LKW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24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Versicherung Kfz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24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Versicherung LKW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24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Wartungskosten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24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Büromaterial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24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Telekom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430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lastRenderedPageBreak/>
              <w:t>Zinsen Sparkasse Berlin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430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>Zinsen Dresdner Bank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003348" w:rsidTr="00003348">
        <w:trPr>
          <w:trHeight w:val="252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Kfix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</w:tr>
      <w:tr w:rsidR="00003348" w:rsidTr="00003348">
        <w:trPr>
          <w:trHeight w:val="252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kfix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</w:tr>
      <w:tr w:rsidR="00CB082D" w:rsidTr="00003348">
        <w:trPr>
          <w:trHeight w:val="506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ausgabe-wirksame Kfix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</w:tr>
      <w:tr w:rsidR="00003348" w:rsidTr="00003348">
        <w:trPr>
          <w:trHeight w:val="252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DB 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</w:tr>
      <w:tr w:rsidR="00003348" w:rsidTr="00003348">
        <w:trPr>
          <w:trHeight w:val="252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db2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</w:tr>
      <w:tr w:rsidR="00003348" w:rsidTr="00003348">
        <w:trPr>
          <w:trHeight w:val="564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  <w:t>Betriebs-</w:t>
            </w:r>
          </w:p>
          <w:p w:rsidR="00CB082D" w:rsidRDefault="00CB082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  <w:t>ergebnis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2D" w:rsidRDefault="00CB082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638B1" w:rsidRDefault="00B638B1" w:rsidP="00B638B1">
      <w:pPr>
        <w:rPr>
          <w:rFonts w:cs="Arial"/>
          <w:szCs w:val="24"/>
        </w:rPr>
      </w:pPr>
    </w:p>
    <w:p w:rsidR="00B638B1" w:rsidRDefault="00B638B1" w:rsidP="00B638B1">
      <w:pPr>
        <w:pStyle w:val="Listenabsatz"/>
        <w:numPr>
          <w:ilvl w:val="0"/>
          <w:numId w:val="9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Ermitteln Sie die Auswirkungen der Absatzänderungen auf die Preisuntergrenzen </w:t>
      </w:r>
      <w:r w:rsidR="00E91FD0">
        <w:rPr>
          <w:rFonts w:cs="Arial"/>
          <w:szCs w:val="24"/>
        </w:rPr>
        <w:t xml:space="preserve">der 3 </w:t>
      </w:r>
      <w:r>
        <w:rPr>
          <w:rFonts w:cs="Arial"/>
          <w:szCs w:val="24"/>
        </w:rPr>
        <w:t>Produkte</w:t>
      </w:r>
      <w:r w:rsidR="00E91FD0">
        <w:rPr>
          <w:rFonts w:cs="Arial"/>
          <w:szCs w:val="24"/>
        </w:rPr>
        <w:t xml:space="preserve"> der Habedank-Säfte GmbH</w:t>
      </w:r>
      <w:r>
        <w:rPr>
          <w:rFonts w:cs="Arial"/>
          <w:szCs w:val="24"/>
        </w:rPr>
        <w:t>.</w:t>
      </w:r>
    </w:p>
    <w:p w:rsidR="00B638B1" w:rsidRDefault="00B638B1" w:rsidP="00B638B1">
      <w:pPr>
        <w:pStyle w:val="Listenabsatz"/>
        <w:rPr>
          <w:rFonts w:cs="Arial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2"/>
        <w:gridCol w:w="1732"/>
        <w:gridCol w:w="1732"/>
        <w:gridCol w:w="1732"/>
      </w:tblGrid>
      <w:tr w:rsidR="00687BC2" w:rsidTr="00687BC2">
        <w:trPr>
          <w:trHeight w:val="34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BC2" w:rsidRDefault="00687BC2" w:rsidP="00687BC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  <w:t>Berechnung der Preisuntergrenzen</w:t>
            </w:r>
          </w:p>
        </w:tc>
      </w:tr>
      <w:tr w:rsidR="00E425F1" w:rsidTr="00E43639">
        <w:trPr>
          <w:trHeight w:val="274"/>
        </w:trPr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E425F1" w:rsidTr="00E43639">
        <w:trPr>
          <w:trHeight w:val="307"/>
        </w:trPr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Eingabefelder: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Produkt 1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Produkt 2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Produkt 3</w:t>
            </w:r>
          </w:p>
        </w:tc>
      </w:tr>
      <w:tr w:rsidR="00E425F1" w:rsidTr="00E43639">
        <w:trPr>
          <w:trHeight w:val="487"/>
        </w:trPr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Absatzmenge: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E425F1" w:rsidTr="00E43639">
        <w:trPr>
          <w:trHeight w:val="298"/>
        </w:trPr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Variable Kosten: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4"/>
              </w:rPr>
            </w:pPr>
          </w:p>
        </w:tc>
      </w:tr>
      <w:tr w:rsidR="00E425F1" w:rsidTr="00E43639">
        <w:trPr>
          <w:trHeight w:val="689"/>
        </w:trPr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Variable Kosten pro Stück kvar: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E425F1" w:rsidTr="00E43639">
        <w:trPr>
          <w:trHeight w:val="274"/>
        </w:trPr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Fixe Kosten Kfix: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E425F1" w:rsidTr="00E43639">
        <w:trPr>
          <w:trHeight w:val="274"/>
        </w:trPr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eastAsiaTheme="minorHAnsi" w:cs="Arial"/>
                <w:color w:val="000000"/>
                <w:sz w:val="22"/>
              </w:rPr>
              <w:t>davon ausgabenwirksame Kfix: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E425F1" w:rsidTr="00E43639">
        <w:trPr>
          <w:trHeight w:val="274"/>
        </w:trPr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E425F1" w:rsidTr="00E43639">
        <w:trPr>
          <w:trHeight w:val="274"/>
        </w:trPr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2"/>
              </w:rPr>
              <w:t>kurzfristige PUG: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</w:tr>
      <w:tr w:rsidR="00E425F1" w:rsidTr="00E43639">
        <w:trPr>
          <w:trHeight w:val="274"/>
        </w:trPr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2"/>
              </w:rPr>
              <w:t>liquiditätsorientierte PUG: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</w:tr>
      <w:tr w:rsidR="00E425F1" w:rsidTr="00E43639">
        <w:trPr>
          <w:trHeight w:val="274"/>
        </w:trPr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2"/>
              </w:rPr>
              <w:t>langfristige PUG: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</w:tr>
      <w:tr w:rsidR="00E425F1" w:rsidTr="00E43639">
        <w:trPr>
          <w:trHeight w:val="274"/>
        </w:trPr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E425F1" w:rsidTr="00E43639">
        <w:trPr>
          <w:trHeight w:val="274"/>
        </w:trPr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2"/>
              </w:rPr>
              <w:t>Erlöse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E425F1" w:rsidTr="00E43639">
        <w:trPr>
          <w:trHeight w:val="274"/>
        </w:trPr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2"/>
              </w:rPr>
              <w:t>db1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E425F1" w:rsidTr="00E43639">
        <w:trPr>
          <w:trHeight w:val="274"/>
        </w:trPr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  <w:r>
              <w:rPr>
                <w:rFonts w:eastAsiaTheme="minorHAnsi" w:cs="Arial"/>
                <w:b/>
                <w:bCs/>
                <w:color w:val="000000"/>
                <w:sz w:val="22"/>
              </w:rPr>
              <w:t>db2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F1" w:rsidRDefault="00E425F1" w:rsidP="00E436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</w:rPr>
            </w:pPr>
          </w:p>
        </w:tc>
      </w:tr>
    </w:tbl>
    <w:p w:rsidR="00E425F1" w:rsidRDefault="00E425F1" w:rsidP="00B638B1">
      <w:pPr>
        <w:pStyle w:val="Listenabsatz"/>
        <w:rPr>
          <w:rFonts w:cs="Arial"/>
          <w:szCs w:val="24"/>
        </w:rPr>
      </w:pPr>
    </w:p>
    <w:p w:rsidR="00E425F1" w:rsidRDefault="00E425F1" w:rsidP="00B638B1">
      <w:pPr>
        <w:pStyle w:val="Listenabsatz"/>
        <w:rPr>
          <w:rFonts w:cs="Arial"/>
          <w:szCs w:val="24"/>
        </w:rPr>
      </w:pPr>
    </w:p>
    <w:p w:rsidR="00E425F1" w:rsidRDefault="00E425F1" w:rsidP="00B638B1">
      <w:pPr>
        <w:pStyle w:val="Listenabsatz"/>
        <w:rPr>
          <w:rFonts w:cs="Arial"/>
          <w:szCs w:val="24"/>
        </w:rPr>
      </w:pPr>
    </w:p>
    <w:p w:rsidR="00E425F1" w:rsidRDefault="00E425F1" w:rsidP="00B638B1">
      <w:pPr>
        <w:pStyle w:val="Listenabsatz"/>
        <w:rPr>
          <w:rFonts w:cs="Arial"/>
          <w:szCs w:val="24"/>
        </w:rPr>
      </w:pPr>
    </w:p>
    <w:p w:rsidR="00E425F1" w:rsidRDefault="00E425F1" w:rsidP="00B638B1">
      <w:pPr>
        <w:pStyle w:val="Listenabsatz"/>
        <w:rPr>
          <w:rFonts w:cs="Arial"/>
          <w:szCs w:val="24"/>
        </w:rPr>
      </w:pPr>
    </w:p>
    <w:p w:rsidR="00E425F1" w:rsidRDefault="00E425F1" w:rsidP="00B638B1">
      <w:pPr>
        <w:pStyle w:val="Listenabsatz"/>
        <w:rPr>
          <w:rFonts w:cs="Arial"/>
          <w:szCs w:val="24"/>
        </w:rPr>
      </w:pPr>
    </w:p>
    <w:p w:rsidR="00687BC2" w:rsidRDefault="00687BC2" w:rsidP="00B638B1">
      <w:pPr>
        <w:pStyle w:val="Listenabsatz"/>
        <w:rPr>
          <w:rFonts w:cs="Arial"/>
          <w:szCs w:val="24"/>
        </w:rPr>
      </w:pPr>
    </w:p>
    <w:p w:rsidR="00E425F1" w:rsidRDefault="00E425F1" w:rsidP="00B638B1">
      <w:pPr>
        <w:pStyle w:val="Listenabsatz"/>
        <w:rPr>
          <w:rFonts w:cs="Arial"/>
          <w:szCs w:val="24"/>
        </w:rPr>
      </w:pPr>
    </w:p>
    <w:p w:rsidR="00614F13" w:rsidRDefault="00614F13" w:rsidP="00B638B1">
      <w:pPr>
        <w:pStyle w:val="Listenabsatz"/>
        <w:rPr>
          <w:rFonts w:cs="Arial"/>
          <w:szCs w:val="24"/>
        </w:rPr>
      </w:pPr>
    </w:p>
    <w:p w:rsidR="00614F13" w:rsidRDefault="00614F13" w:rsidP="00B638B1">
      <w:pPr>
        <w:pStyle w:val="Listenabsatz"/>
        <w:rPr>
          <w:rFonts w:cs="Arial"/>
          <w:szCs w:val="24"/>
        </w:rPr>
      </w:pPr>
    </w:p>
    <w:p w:rsidR="00614F13" w:rsidRDefault="00614F13" w:rsidP="00B638B1">
      <w:pPr>
        <w:pStyle w:val="Listenabsatz"/>
        <w:rPr>
          <w:rFonts w:cs="Arial"/>
          <w:szCs w:val="24"/>
        </w:rPr>
      </w:pPr>
    </w:p>
    <w:p w:rsidR="00614F13" w:rsidRPr="00E67C08" w:rsidRDefault="00614F13" w:rsidP="00B638B1">
      <w:pPr>
        <w:pStyle w:val="Listenabsatz"/>
        <w:rPr>
          <w:rFonts w:cs="Arial"/>
          <w:szCs w:val="24"/>
        </w:rPr>
      </w:pPr>
    </w:p>
    <w:p w:rsidR="00E425F1" w:rsidRDefault="00E425F1" w:rsidP="00335BD3">
      <w:pPr>
        <w:rPr>
          <w:rFonts w:cs="Arial"/>
          <w:sz w:val="16"/>
        </w:rPr>
      </w:pPr>
    </w:p>
    <w:p w:rsidR="00E425F1" w:rsidRDefault="00E425F1" w:rsidP="00335BD3">
      <w:pPr>
        <w:rPr>
          <w:rFonts w:cs="Arial"/>
          <w:sz w:val="16"/>
        </w:rPr>
      </w:pPr>
    </w:p>
    <w:p w:rsidR="00E425F1" w:rsidRDefault="00E425F1" w:rsidP="00335BD3">
      <w:pPr>
        <w:rPr>
          <w:rFonts w:cs="Arial"/>
          <w:sz w:val="16"/>
        </w:rPr>
      </w:pPr>
    </w:p>
    <w:p w:rsidR="00E425F1" w:rsidRDefault="00E425F1" w:rsidP="00335BD3">
      <w:pPr>
        <w:rPr>
          <w:rFonts w:cs="Arial"/>
          <w:sz w:val="16"/>
        </w:rPr>
      </w:pPr>
    </w:p>
    <w:p w:rsidR="00335BD3" w:rsidRDefault="00335BD3" w:rsidP="00335BD3">
      <w:pPr>
        <w:rPr>
          <w:sz w:val="16"/>
          <w:szCs w:val="16"/>
        </w:rPr>
      </w:pPr>
      <w:r>
        <w:rPr>
          <w:rFonts w:cs="Arial"/>
          <w:sz w:val="16"/>
        </w:rPr>
        <w:fldChar w:fldCharType="begin"/>
      </w:r>
      <w:r>
        <w:rPr>
          <w:rFonts w:cs="Arial"/>
          <w:sz w:val="16"/>
        </w:rPr>
        <w:instrText xml:space="preserve"> FILENAME \p </w:instrText>
      </w:r>
      <w:r>
        <w:rPr>
          <w:rFonts w:cs="Arial"/>
          <w:sz w:val="16"/>
        </w:rPr>
        <w:fldChar w:fldCharType="separate"/>
      </w:r>
      <w:r w:rsidR="002A150D">
        <w:rPr>
          <w:rFonts w:cs="Arial"/>
          <w:noProof/>
          <w:sz w:val="16"/>
        </w:rPr>
        <w:t>C:\Users\WN\Documents\HABEDANK\LA 5(4) Kostenrechnung\LE 2 Teilkostenrechnung (DBR)\Übg Preisuntergrenzen.docx</w:t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 xml:space="preserve"> </w:t>
      </w:r>
      <w:r>
        <w:rPr>
          <w:sz w:val="16"/>
          <w:szCs w:val="16"/>
        </w:rPr>
        <w:t>Erstelld</w:t>
      </w:r>
      <w:r>
        <w:rPr>
          <w:sz w:val="16"/>
          <w:szCs w:val="16"/>
        </w:rPr>
        <w:t>a</w:t>
      </w:r>
      <w:r>
        <w:rPr>
          <w:sz w:val="16"/>
          <w:szCs w:val="16"/>
        </w:rPr>
        <w:t xml:space="preserve">tum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DATE  \@ "dd.MM.yyyy H:mm" \l  \* MERGEFORMAT </w:instrText>
      </w:r>
      <w:r>
        <w:rPr>
          <w:sz w:val="16"/>
          <w:szCs w:val="16"/>
        </w:rPr>
        <w:fldChar w:fldCharType="separate"/>
      </w:r>
      <w:r w:rsidR="00D75F96">
        <w:rPr>
          <w:noProof/>
          <w:sz w:val="16"/>
          <w:szCs w:val="16"/>
        </w:rPr>
        <w:t>07.02.2011 23:13</w:t>
      </w:r>
      <w:r>
        <w:rPr>
          <w:sz w:val="16"/>
          <w:szCs w:val="16"/>
        </w:rPr>
        <w:fldChar w:fldCharType="end"/>
      </w:r>
    </w:p>
    <w:sectPr w:rsidR="00335BD3" w:rsidSect="0005020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16" w:rsidRDefault="00645916" w:rsidP="00603D28">
      <w:r>
        <w:separator/>
      </w:r>
    </w:p>
  </w:endnote>
  <w:endnote w:type="continuationSeparator" w:id="0">
    <w:p w:rsidR="00645916" w:rsidRDefault="00645916" w:rsidP="006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02" w:rsidRDefault="00573302" w:rsidP="00603D28">
    <w:pPr>
      <w:tabs>
        <w:tab w:val="center" w:pos="4536"/>
        <w:tab w:val="right" w:pos="907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D75F96">
      <w:rPr>
        <w:noProof/>
      </w:rPr>
      <w:t>1</w:t>
    </w:r>
    <w:r>
      <w:fldChar w:fldCharType="end"/>
    </w:r>
    <w:r>
      <w:t xml:space="preserve"> - </w:t>
    </w:r>
    <w:fldSimple w:instr=" NUMPAGES ">
      <w:r w:rsidR="00D75F96">
        <w:rPr>
          <w:noProof/>
        </w:rPr>
        <w:t>7</w:t>
      </w:r>
    </w:fldSimple>
  </w:p>
  <w:p w:rsidR="00573302" w:rsidRDefault="005733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16" w:rsidRDefault="00645916" w:rsidP="00603D28">
      <w:r>
        <w:separator/>
      </w:r>
    </w:p>
  </w:footnote>
  <w:footnote w:type="continuationSeparator" w:id="0">
    <w:p w:rsidR="00645916" w:rsidRDefault="00645916" w:rsidP="0060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27B"/>
    <w:multiLevelType w:val="hybridMultilevel"/>
    <w:tmpl w:val="638C5980"/>
    <w:lvl w:ilvl="0" w:tplc="AD506094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15AA1"/>
    <w:multiLevelType w:val="hybridMultilevel"/>
    <w:tmpl w:val="563002CE"/>
    <w:lvl w:ilvl="0" w:tplc="AD506094">
      <w:start w:val="4"/>
      <w:numFmt w:val="bullet"/>
      <w:lvlText w:val=""/>
      <w:lvlJc w:val="left"/>
      <w:pPr>
        <w:ind w:left="1776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3B7117"/>
    <w:multiLevelType w:val="hybridMultilevel"/>
    <w:tmpl w:val="3CD4E0D0"/>
    <w:lvl w:ilvl="0" w:tplc="CF4645CE">
      <w:start w:val="2"/>
      <w:numFmt w:val="decimal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3A11A4"/>
    <w:multiLevelType w:val="hybridMultilevel"/>
    <w:tmpl w:val="C6B81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32071"/>
    <w:multiLevelType w:val="hybridMultilevel"/>
    <w:tmpl w:val="8C7882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857182"/>
    <w:multiLevelType w:val="hybridMultilevel"/>
    <w:tmpl w:val="CBA8A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17984"/>
    <w:multiLevelType w:val="hybridMultilevel"/>
    <w:tmpl w:val="848447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5357DF"/>
    <w:multiLevelType w:val="hybridMultilevel"/>
    <w:tmpl w:val="A8CAE1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96E0F"/>
    <w:multiLevelType w:val="hybridMultilevel"/>
    <w:tmpl w:val="2026A7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D3"/>
    <w:rsid w:val="00003348"/>
    <w:rsid w:val="00004605"/>
    <w:rsid w:val="00040302"/>
    <w:rsid w:val="00042C85"/>
    <w:rsid w:val="0005020E"/>
    <w:rsid w:val="00052ED9"/>
    <w:rsid w:val="000933CF"/>
    <w:rsid w:val="000A4E81"/>
    <w:rsid w:val="000C5EE4"/>
    <w:rsid w:val="000D632F"/>
    <w:rsid w:val="00130BD0"/>
    <w:rsid w:val="001357BE"/>
    <w:rsid w:val="00152E13"/>
    <w:rsid w:val="00174281"/>
    <w:rsid w:val="001A58A0"/>
    <w:rsid w:val="001F1A5E"/>
    <w:rsid w:val="00232D26"/>
    <w:rsid w:val="002860A7"/>
    <w:rsid w:val="002A150D"/>
    <w:rsid w:val="002D3AB6"/>
    <w:rsid w:val="002E4DB0"/>
    <w:rsid w:val="002F5721"/>
    <w:rsid w:val="00304A01"/>
    <w:rsid w:val="00335BD3"/>
    <w:rsid w:val="00356925"/>
    <w:rsid w:val="00373A0E"/>
    <w:rsid w:val="003A5BD0"/>
    <w:rsid w:val="003C224E"/>
    <w:rsid w:val="003C6C3C"/>
    <w:rsid w:val="0041559D"/>
    <w:rsid w:val="004177D6"/>
    <w:rsid w:val="004401A3"/>
    <w:rsid w:val="00472A92"/>
    <w:rsid w:val="004A028C"/>
    <w:rsid w:val="004F12E8"/>
    <w:rsid w:val="00503BEA"/>
    <w:rsid w:val="00513178"/>
    <w:rsid w:val="00573302"/>
    <w:rsid w:val="0058139F"/>
    <w:rsid w:val="00582432"/>
    <w:rsid w:val="005A05FC"/>
    <w:rsid w:val="005B033D"/>
    <w:rsid w:val="005C77CE"/>
    <w:rsid w:val="00603629"/>
    <w:rsid w:val="00603D28"/>
    <w:rsid w:val="00614F13"/>
    <w:rsid w:val="00645916"/>
    <w:rsid w:val="006574A5"/>
    <w:rsid w:val="00666AE2"/>
    <w:rsid w:val="006849E8"/>
    <w:rsid w:val="00687BC2"/>
    <w:rsid w:val="006A2813"/>
    <w:rsid w:val="006A71D4"/>
    <w:rsid w:val="006A7985"/>
    <w:rsid w:val="006B4CEA"/>
    <w:rsid w:val="006E2700"/>
    <w:rsid w:val="006F445D"/>
    <w:rsid w:val="006F7A9A"/>
    <w:rsid w:val="00767DB1"/>
    <w:rsid w:val="00803F00"/>
    <w:rsid w:val="00856A65"/>
    <w:rsid w:val="0088262F"/>
    <w:rsid w:val="008D6DAA"/>
    <w:rsid w:val="008F27D8"/>
    <w:rsid w:val="009043BE"/>
    <w:rsid w:val="00927BAA"/>
    <w:rsid w:val="009305D1"/>
    <w:rsid w:val="0094056B"/>
    <w:rsid w:val="00945389"/>
    <w:rsid w:val="009473A4"/>
    <w:rsid w:val="0099135F"/>
    <w:rsid w:val="009A6335"/>
    <w:rsid w:val="009A6A2C"/>
    <w:rsid w:val="009B0FDD"/>
    <w:rsid w:val="00A00875"/>
    <w:rsid w:val="00A62647"/>
    <w:rsid w:val="00A6695D"/>
    <w:rsid w:val="00AA0B72"/>
    <w:rsid w:val="00AC00C1"/>
    <w:rsid w:val="00AD5C68"/>
    <w:rsid w:val="00B103E5"/>
    <w:rsid w:val="00B169CF"/>
    <w:rsid w:val="00B354CD"/>
    <w:rsid w:val="00B40B71"/>
    <w:rsid w:val="00B638B1"/>
    <w:rsid w:val="00B9420A"/>
    <w:rsid w:val="00BB4096"/>
    <w:rsid w:val="00BD51EF"/>
    <w:rsid w:val="00C02480"/>
    <w:rsid w:val="00C15AB4"/>
    <w:rsid w:val="00C334B9"/>
    <w:rsid w:val="00C61C76"/>
    <w:rsid w:val="00C92DA0"/>
    <w:rsid w:val="00CB082D"/>
    <w:rsid w:val="00CC1D32"/>
    <w:rsid w:val="00CD7EF5"/>
    <w:rsid w:val="00D26FEB"/>
    <w:rsid w:val="00D33FFC"/>
    <w:rsid w:val="00D740B9"/>
    <w:rsid w:val="00D75F96"/>
    <w:rsid w:val="00D94BE9"/>
    <w:rsid w:val="00DB63D9"/>
    <w:rsid w:val="00DC1FE5"/>
    <w:rsid w:val="00DC42ED"/>
    <w:rsid w:val="00DD0C17"/>
    <w:rsid w:val="00DE63D6"/>
    <w:rsid w:val="00DF2006"/>
    <w:rsid w:val="00DF3BF8"/>
    <w:rsid w:val="00E425F1"/>
    <w:rsid w:val="00E67C08"/>
    <w:rsid w:val="00E91F98"/>
    <w:rsid w:val="00E91FD0"/>
    <w:rsid w:val="00EF4C3D"/>
    <w:rsid w:val="00F2554D"/>
    <w:rsid w:val="00F30527"/>
    <w:rsid w:val="00F534B9"/>
    <w:rsid w:val="00FA2595"/>
    <w:rsid w:val="00FA6582"/>
    <w:rsid w:val="00FC2ED5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BD3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B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B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BD3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3D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3D28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03D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3D28"/>
    <w:rPr>
      <w:rFonts w:eastAsia="Calibri" w:cs="Times New Roman"/>
    </w:rPr>
  </w:style>
  <w:style w:type="table" w:styleId="Tabellenraster">
    <w:name w:val="Table Grid"/>
    <w:basedOn w:val="NormaleTabelle"/>
    <w:uiPriority w:val="59"/>
    <w:rsid w:val="00093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AC00C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D7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BD3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B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B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BD3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3D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3D28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03D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3D28"/>
    <w:rPr>
      <w:rFonts w:eastAsia="Calibri" w:cs="Times New Roman"/>
    </w:rPr>
  </w:style>
  <w:style w:type="table" w:styleId="Tabellenraster">
    <w:name w:val="Table Grid"/>
    <w:basedOn w:val="NormaleTabelle"/>
    <w:uiPriority w:val="59"/>
    <w:rsid w:val="00093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AC00C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D7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Preisuntergrenz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1600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</dc:creator>
  <cp:lastModifiedBy>WN</cp:lastModifiedBy>
  <cp:revision>2</cp:revision>
  <cp:lastPrinted>2011-02-07T20:27:00Z</cp:lastPrinted>
  <dcterms:created xsi:type="dcterms:W3CDTF">2011-02-07T22:14:00Z</dcterms:created>
  <dcterms:modified xsi:type="dcterms:W3CDTF">2011-02-07T22:14:00Z</dcterms:modified>
</cp:coreProperties>
</file>